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B7" w:rsidRPr="00A11969" w:rsidRDefault="00290CB7" w:rsidP="00290CB7">
      <w:pPr>
        <w:jc w:val="both"/>
        <w:rPr>
          <w:b/>
          <w:color w:val="000000"/>
          <w:sz w:val="26"/>
          <w:szCs w:val="26"/>
          <w:lang w:val="uk-UA"/>
        </w:rPr>
      </w:pPr>
      <w:r w:rsidRPr="00A11969">
        <w:rPr>
          <w:b/>
          <w:color w:val="000000"/>
          <w:sz w:val="26"/>
          <w:szCs w:val="26"/>
          <w:lang w:val="uk-UA"/>
        </w:rPr>
        <w:t xml:space="preserve">Законодавство з питань </w:t>
      </w:r>
      <w:r w:rsidRPr="00A11969">
        <w:rPr>
          <w:b/>
          <w:sz w:val="26"/>
          <w:szCs w:val="26"/>
          <w:shd w:val="clear" w:color="auto" w:fill="FFFFFF"/>
          <w:lang w:val="uk-UA"/>
        </w:rPr>
        <w:t>децентралізації влади та реформи місцевого самоврядування</w:t>
      </w:r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4" w:anchor="n8" w:history="1">
        <w:r w:rsidRPr="00A11969">
          <w:rPr>
            <w:rStyle w:val="a3"/>
            <w:color w:val="000000"/>
            <w:sz w:val="26"/>
            <w:szCs w:val="26"/>
            <w:lang w:val="uk-UA"/>
          </w:rPr>
          <w:t xml:space="preserve">КОНЦЕПЦІЯ реформування місцевого </w:t>
        </w:r>
        <w:r w:rsidRPr="00A11969">
          <w:rPr>
            <w:rStyle w:val="a3"/>
            <w:color w:val="000000"/>
            <w:sz w:val="26"/>
            <w:szCs w:val="26"/>
            <w:lang w:val="uk-UA"/>
          </w:rPr>
          <w:t>с</w:t>
        </w:r>
        <w:r w:rsidRPr="00A11969">
          <w:rPr>
            <w:rStyle w:val="a3"/>
            <w:color w:val="000000"/>
            <w:sz w:val="26"/>
            <w:szCs w:val="26"/>
            <w:lang w:val="uk-UA"/>
          </w:rPr>
          <w:t>амоврядування та територіальної організації влади в Україні</w:t>
        </w:r>
      </w:hyperlink>
    </w:p>
    <w:p w:rsidR="00290CB7" w:rsidRPr="00A11969" w:rsidRDefault="00290CB7" w:rsidP="00290CB7">
      <w:pPr>
        <w:textAlignment w:val="baseline"/>
        <w:rPr>
          <w:color w:val="000000"/>
          <w:sz w:val="26"/>
          <w:szCs w:val="26"/>
          <w:lang w:val="uk-UA"/>
        </w:rPr>
      </w:pPr>
      <w:hyperlink r:id="rId5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співробітництво територіальних громад»</w:t>
        </w:r>
      </w:hyperlink>
    </w:p>
    <w:p w:rsidR="00290CB7" w:rsidRPr="00A11969" w:rsidRDefault="00290CB7" w:rsidP="00290CB7">
      <w:pPr>
        <w:textAlignment w:val="baseline"/>
        <w:rPr>
          <w:color w:val="000000"/>
          <w:sz w:val="26"/>
          <w:szCs w:val="26"/>
          <w:lang w:val="uk-UA"/>
        </w:rPr>
      </w:pPr>
      <w:hyperlink r:id="rId6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ратифікацію Додаткового Протоколу до Європейської хартії місцевого самоврядування про право участі у справах органу місцевого самоврядування»</w:t>
        </w:r>
      </w:hyperlink>
    </w:p>
    <w:p w:rsidR="00290CB7" w:rsidRPr="00A11969" w:rsidRDefault="00290CB7" w:rsidP="00290CB7">
      <w:pPr>
        <w:textAlignment w:val="baseline"/>
        <w:rPr>
          <w:color w:val="000000"/>
          <w:sz w:val="26"/>
          <w:szCs w:val="26"/>
          <w:lang w:val="uk-UA"/>
        </w:rPr>
      </w:pPr>
      <w:hyperlink r:id="rId7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добровільне о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б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’єднання територіальних громад»</w:t>
        </w:r>
      </w:hyperlink>
    </w:p>
    <w:p w:rsidR="00290CB7" w:rsidRPr="00A11969" w:rsidRDefault="00290CB7" w:rsidP="00290CB7">
      <w:pPr>
        <w:textAlignment w:val="baseline"/>
        <w:rPr>
          <w:color w:val="000000"/>
          <w:sz w:val="26"/>
          <w:szCs w:val="26"/>
          <w:lang w:val="uk-UA"/>
        </w:rPr>
      </w:pPr>
      <w:hyperlink r:id="rId8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засади державної регіонально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ї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 xml:space="preserve"> політики»</w:t>
        </w:r>
      </w:hyperlink>
    </w:p>
    <w:p w:rsidR="00290CB7" w:rsidRPr="00A11969" w:rsidRDefault="00290CB7" w:rsidP="00290CB7">
      <w:pPr>
        <w:textAlignment w:val="baseline"/>
        <w:rPr>
          <w:color w:val="000000"/>
          <w:sz w:val="26"/>
          <w:szCs w:val="26"/>
          <w:lang w:val="uk-UA"/>
        </w:rPr>
      </w:pPr>
      <w:hyperlink r:id="rId9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внесення змін до Податкового кодексу України та деяких законодавчих актів України щодо податкової реформи»</w:t>
        </w:r>
      </w:hyperlink>
    </w:p>
    <w:p w:rsidR="00290CB7" w:rsidRPr="00A11969" w:rsidRDefault="00290CB7" w:rsidP="00290CB7">
      <w:pPr>
        <w:textAlignment w:val="baseline"/>
        <w:rPr>
          <w:rFonts w:ascii="Tahoma" w:hAnsi="Tahoma" w:cs="Tahoma"/>
          <w:color w:val="2A2B2A"/>
          <w:sz w:val="26"/>
          <w:szCs w:val="26"/>
          <w:lang w:val="uk-UA"/>
        </w:rPr>
      </w:pPr>
      <w:hyperlink r:id="rId10" w:tgtFrame="_blank" w:history="1"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Закон України «Про внесення змі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>н</w:t>
        </w:r>
        <w:r w:rsidRPr="00A11969">
          <w:rPr>
            <w:rStyle w:val="a3"/>
            <w:color w:val="000000"/>
            <w:sz w:val="26"/>
            <w:szCs w:val="26"/>
            <w:bdr w:val="none" w:sz="0" w:space="0" w:color="auto" w:frame="1"/>
            <w:lang w:val="uk-UA"/>
          </w:rPr>
          <w:t xml:space="preserve"> до Бюджетного кодексу України щодо реформи міжбюджетних відносин»</w:t>
        </w:r>
      </w:hyperlink>
    </w:p>
    <w:p w:rsidR="00290CB7" w:rsidRPr="00327A75" w:rsidRDefault="00290CB7" w:rsidP="00290CB7">
      <w:pPr>
        <w:textAlignment w:val="baseline"/>
        <w:rPr>
          <w:sz w:val="26"/>
          <w:szCs w:val="26"/>
          <w:lang w:val="uk-UA"/>
        </w:rPr>
      </w:pPr>
      <w:hyperlink r:id="rId11" w:history="1"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змін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деяких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законів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щодо</w:t>
        </w:r>
        <w:proofErr w:type="spellEnd"/>
        <w:r w:rsidRPr="00E629E8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 xml:space="preserve"> статусу старости села, селища</w:t>
        </w:r>
        <w:proofErr w:type="gramStart"/>
      </w:hyperlink>
      <w:r w:rsidRPr="00E629E8">
        <w:rPr>
          <w:sz w:val="26"/>
          <w:szCs w:val="26"/>
        </w:rPr>
        <w:br/>
      </w:r>
      <w:hyperlink r:id="rId12" w:history="1">
        <w:r w:rsidRPr="00327A75">
          <w:rPr>
            <w:rStyle w:val="a3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П</w:t>
        </w:r>
        <w:proofErr w:type="gramEnd"/>
        <w:r w:rsidRPr="00327A75">
          <w:rPr>
            <w:rStyle w:val="a3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ро внесення змін до Бюджетного кодексу України щодо особливостей формування та виконання бюджетів</w:t>
        </w:r>
        <w:r w:rsidRPr="00327A75">
          <w:rPr>
            <w:rStyle w:val="a3"/>
            <w:rFonts w:ascii="Verdana" w:hAnsi="Verdana"/>
            <w:color w:val="5674B9"/>
            <w:sz w:val="19"/>
            <w:szCs w:val="19"/>
            <w:bdr w:val="none" w:sz="0" w:space="0" w:color="auto" w:frame="1"/>
            <w:shd w:val="clear" w:color="auto" w:fill="FFFFFF"/>
            <w:lang w:val="uk-UA"/>
          </w:rPr>
          <w:t xml:space="preserve"> </w:t>
        </w:r>
      </w:hyperlink>
      <w:r>
        <w:rPr>
          <w:lang w:val="uk-UA"/>
        </w:rPr>
        <w:t>об</w:t>
      </w:r>
      <w:r w:rsidRPr="00327A75">
        <w:rPr>
          <w:lang w:val="uk-UA"/>
        </w:rPr>
        <w:t>'</w:t>
      </w:r>
      <w:r>
        <w:rPr>
          <w:lang w:val="uk-UA"/>
        </w:rPr>
        <w:t>єднаних територіальних громад</w:t>
      </w:r>
    </w:p>
    <w:p w:rsidR="00290CB7" w:rsidRPr="00327A75" w:rsidRDefault="00290CB7" w:rsidP="00290CB7">
      <w:pPr>
        <w:jc w:val="both"/>
        <w:rPr>
          <w:sz w:val="26"/>
          <w:szCs w:val="26"/>
          <w:lang w:val="uk-UA"/>
        </w:rPr>
      </w:pPr>
      <w:r w:rsidRPr="00A11969">
        <w:rPr>
          <w:sz w:val="26"/>
          <w:szCs w:val="26"/>
          <w:lang w:val="uk-UA"/>
        </w:rPr>
        <w:t xml:space="preserve">Розпорядження Кабінету Міністрів України від 8 вересня 2015 року №924-р </w:t>
      </w:r>
      <w:proofErr w:type="spellStart"/>
      <w:r w:rsidRPr="00327A75">
        <w:rPr>
          <w:sz w:val="26"/>
          <w:szCs w:val="26"/>
          <w:lang w:val="uk-UA"/>
        </w:rPr>
        <w:t>''</w:t>
      </w:r>
      <w:hyperlink r:id="rId13" w:history="1">
        <w:r w:rsidRPr="00327A75">
          <w:rPr>
            <w:rStyle w:val="a3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Про</w:t>
        </w:r>
        <w:proofErr w:type="spellEnd"/>
        <w:r w:rsidRPr="00327A75">
          <w:rPr>
            <w:rStyle w:val="a3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 затвердження перспективного плану формування територій громад Хмельницької </w:t>
        </w:r>
        <w:proofErr w:type="spellStart"/>
        <w:r w:rsidRPr="00327A75">
          <w:rPr>
            <w:rStyle w:val="a3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області</w:t>
        </w:r>
      </w:hyperlink>
      <w:r w:rsidRPr="00327A75">
        <w:rPr>
          <w:sz w:val="26"/>
          <w:szCs w:val="26"/>
          <w:lang w:val="uk-UA"/>
        </w:rPr>
        <w:t>''</w:t>
      </w:r>
      <w:proofErr w:type="spellEnd"/>
    </w:p>
    <w:p w:rsidR="00290CB7" w:rsidRDefault="00290CB7" w:rsidP="00290CB7">
      <w:pPr>
        <w:jc w:val="both"/>
        <w:rPr>
          <w:color w:val="000000"/>
          <w:sz w:val="26"/>
          <w:szCs w:val="26"/>
          <w:lang w:val="uk-UA"/>
        </w:rPr>
      </w:pPr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4" w:history="1">
        <w:r w:rsidRPr="00A11969">
          <w:rPr>
            <w:rStyle w:val="a3"/>
            <w:color w:val="000000"/>
            <w:sz w:val="26"/>
            <w:szCs w:val="26"/>
            <w:lang w:val="uk-UA"/>
          </w:rPr>
          <w:t>МЕТОДИКА формування спроможних територіальних громад</w:t>
        </w:r>
      </w:hyperlink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5" w:history="1">
        <w:r w:rsidRPr="00A11969">
          <w:rPr>
            <w:rStyle w:val="a3"/>
            <w:color w:val="000000"/>
            <w:sz w:val="26"/>
            <w:szCs w:val="26"/>
            <w:lang w:val="uk-UA"/>
          </w:rPr>
          <w:t>Методичні рекомендації щодо практичного застосування положень Закону України «Про співробітництво територіальних громад» в частині організації та юридичного оформлення співробітництва</w:t>
        </w:r>
      </w:hyperlink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6" w:history="1">
        <w:r w:rsidRPr="00A11969">
          <w:rPr>
            <w:rStyle w:val="a3"/>
            <w:color w:val="000000"/>
            <w:sz w:val="26"/>
            <w:szCs w:val="26"/>
            <w:lang w:val="uk-UA"/>
          </w:rPr>
          <w:t>Практичний коментар до Закону України «Про співробітництво територіальних громад»</w:t>
        </w:r>
      </w:hyperlink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7" w:history="1">
        <w:r w:rsidRPr="00A11969">
          <w:rPr>
            <w:rStyle w:val="a3"/>
            <w:color w:val="000000"/>
            <w:sz w:val="26"/>
            <w:szCs w:val="26"/>
            <w:lang w:val="uk-UA"/>
          </w:rPr>
          <w:t xml:space="preserve">Наказ </w:t>
        </w:r>
        <w:proofErr w:type="spellStart"/>
        <w:r w:rsidRPr="00A11969">
          <w:rPr>
            <w:rStyle w:val="a3"/>
            <w:color w:val="000000"/>
            <w:sz w:val="26"/>
            <w:szCs w:val="26"/>
            <w:lang w:val="uk-UA"/>
          </w:rPr>
          <w:t>Мінрегіону</w:t>
        </w:r>
        <w:proofErr w:type="spellEnd"/>
        <w:r w:rsidRPr="00A11969">
          <w:rPr>
            <w:rStyle w:val="a3"/>
            <w:color w:val="000000"/>
            <w:sz w:val="26"/>
            <w:szCs w:val="26"/>
            <w:lang w:val="uk-UA"/>
          </w:rPr>
          <w:t xml:space="preserve"> "Про затвердження Примірних форм договорів про співробітництво територіальних громад"</w:t>
        </w:r>
      </w:hyperlink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8" w:history="1">
        <w:r w:rsidRPr="00A11969">
          <w:rPr>
            <w:rStyle w:val="a3"/>
            <w:color w:val="000000"/>
            <w:sz w:val="26"/>
            <w:szCs w:val="26"/>
            <w:lang w:val="uk-UA"/>
          </w:rPr>
          <w:t xml:space="preserve">Наказ </w:t>
        </w:r>
        <w:proofErr w:type="spellStart"/>
        <w:r w:rsidRPr="00A11969">
          <w:rPr>
            <w:rStyle w:val="a3"/>
            <w:color w:val="000000"/>
            <w:sz w:val="26"/>
            <w:szCs w:val="26"/>
            <w:lang w:val="uk-UA"/>
          </w:rPr>
          <w:t>Мінрегіону</w:t>
        </w:r>
        <w:proofErr w:type="spellEnd"/>
        <w:r w:rsidRPr="00A11969">
          <w:rPr>
            <w:rStyle w:val="a3"/>
            <w:color w:val="000000"/>
            <w:sz w:val="26"/>
            <w:szCs w:val="26"/>
            <w:lang w:val="uk-UA"/>
          </w:rPr>
          <w:t xml:space="preserve"> "Про затвердження Порядку формування та забезпечення функціонування реєстру про співробітництво територіальних громад"</w:t>
        </w:r>
      </w:hyperlink>
    </w:p>
    <w:p w:rsidR="00290CB7" w:rsidRPr="00A11969" w:rsidRDefault="00290CB7" w:rsidP="00290CB7">
      <w:pPr>
        <w:jc w:val="both"/>
        <w:rPr>
          <w:color w:val="000000"/>
          <w:sz w:val="26"/>
          <w:szCs w:val="26"/>
          <w:lang w:val="uk-UA"/>
        </w:rPr>
      </w:pPr>
      <w:hyperlink r:id="rId19" w:history="1">
        <w:r w:rsidRPr="00A11969">
          <w:rPr>
            <w:rStyle w:val="a3"/>
            <w:color w:val="000000"/>
            <w:sz w:val="26"/>
            <w:szCs w:val="26"/>
            <w:lang w:val="uk-UA"/>
          </w:rPr>
          <w:t>Заходи з впровадження Закону України "Про співробітництво територіальних громад"</w:t>
        </w:r>
      </w:hyperlink>
    </w:p>
    <w:p w:rsidR="00214D29" w:rsidRPr="00290CB7" w:rsidRDefault="00214D29">
      <w:pPr>
        <w:rPr>
          <w:lang w:val="uk-UA"/>
        </w:rPr>
      </w:pPr>
    </w:p>
    <w:sectPr w:rsidR="00214D29" w:rsidRPr="00290CB7" w:rsidSect="002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B7"/>
    <w:rsid w:val="00214D29"/>
    <w:rsid w:val="0029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6-19" TargetMode="External"/><Relationship Id="rId13" Type="http://schemas.openxmlformats.org/officeDocument/2006/relationships/hyperlink" Target="http://zakon.rada.gov.ua/go/924-2015-%D1%80" TargetMode="External"/><Relationship Id="rId18" Type="http://schemas.openxmlformats.org/officeDocument/2006/relationships/hyperlink" Target="http://www.minregion.gov.ua/regional-dev/spivrobitnictvo-teritorialnih-gromad-673944/nakazi-minregionu-308249/nakaz-minregionu-pro-zatverdzhennya-poryadku-formuvannya-ta-zabezpechennya-funkcionuvannya-reestru-pro-spivrobitnictvo-teritoria-43921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1.rada.gov.ua/laws/show/157-19" TargetMode="External"/><Relationship Id="rId12" Type="http://schemas.openxmlformats.org/officeDocument/2006/relationships/hyperlink" Target="http://zakon.rada.gov.ua/go/837-19" TargetMode="External"/><Relationship Id="rId17" Type="http://schemas.openxmlformats.org/officeDocument/2006/relationships/hyperlink" Target="http://www.minregion.gov.ua/regional-dev/spivrobitnictvo-teritorialnih-gromad-673944/nakazi-minregionu-308249/nakaz-minregionu-pro-zatverdzhennya-primirnih-form-dogovoriv-pro-spivrobitnictvo-teritorialnih-gromad-911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region.gov.ua/attachments/files/reg.rozvutok/%D0%BA%D0%BE%D0%BC%D0%B5%D0%BD%D1%82%D0%B0%D1%8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64-18" TargetMode="External"/><Relationship Id="rId11" Type="http://schemas.openxmlformats.org/officeDocument/2006/relationships/hyperlink" Target="http://zakon.rada.gov.ua/go/1848-19" TargetMode="External"/><Relationship Id="rId5" Type="http://schemas.openxmlformats.org/officeDocument/2006/relationships/hyperlink" Target="http://zakon2.rada.gov.ua/laws/show/1508-18" TargetMode="External"/><Relationship Id="rId15" Type="http://schemas.openxmlformats.org/officeDocument/2006/relationships/hyperlink" Target="http://www.minregion.gov.ua/attachments/files/reg.rozvutok/Metodychka.pdf" TargetMode="External"/><Relationship Id="rId10" Type="http://schemas.openxmlformats.org/officeDocument/2006/relationships/hyperlink" Target="http://zakon4.rada.gov.ua/laws/show/79-19" TargetMode="External"/><Relationship Id="rId19" Type="http://schemas.openxmlformats.org/officeDocument/2006/relationships/hyperlink" Target="http://www.minregion.gov.ua/regional-dev/spivrobitnictvo-teritorialnih-gromad-673944/zahodi-z-vprovadzhennya-zakonu-ukrayini-pro-spivrobitnictvo-teritorialnih-gromad-822689/" TargetMode="External"/><Relationship Id="rId4" Type="http://schemas.openxmlformats.org/officeDocument/2006/relationships/hyperlink" Target="http://zakon1.rada.gov.ua/laws/show/333-2014-%D1%80" TargetMode="External"/><Relationship Id="rId9" Type="http://schemas.openxmlformats.org/officeDocument/2006/relationships/hyperlink" Target="http://zakon3.rada.gov.ua/laws/show/71-19" TargetMode="External"/><Relationship Id="rId14" Type="http://schemas.openxmlformats.org/officeDocument/2006/relationships/hyperlink" Target="http://uaror.org.ua/wp-content/uploads/2015/04/%D0%9C%D0%B5%D1%82%D0%BE%D0%B4%D0%B8%D0%BA%D0%B0-%D1%84%D0%BE%D1%80%D0%BC%D1%83%D0%B2%D0%B0%D0%BD%D0%BD%D1%8F-%D1%82%D0%B5%D1%80%D0%B8%D1%82%D0%BE%D1%80%D1%96%D0%B0%D0%BB%D1%8C%D0%BD%D0%B8%D1%85-%D0%B3%D1%80%D0%BE%D0%BC%D0%B0%D0%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2017-07-26T08:21:00Z</dcterms:created>
  <dcterms:modified xsi:type="dcterms:W3CDTF">2017-07-26T08:22:00Z</dcterms:modified>
</cp:coreProperties>
</file>