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245"/>
      </w:tblGrid>
      <w:tr w:rsidR="009E3628" w:rsidRPr="00FE3294" w:rsidTr="00DD0A9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8" w:rsidRPr="00FE3294" w:rsidRDefault="009E3628" w:rsidP="00DD0A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FE3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  <w:t>The name of the investment project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8" w:rsidRDefault="009E3628" w:rsidP="00DD0A9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E329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Reconstruction of the Old Fortress barracks into the recreational and tourist complex with the tourist infrastructure</w:t>
            </w:r>
          </w:p>
          <w:p w:rsidR="009E3628" w:rsidRPr="00FE3294" w:rsidRDefault="009E3628" w:rsidP="00DD0A9B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</w:tr>
      <w:tr w:rsidR="009E3628" w:rsidRPr="00FE3294" w:rsidTr="00DD0A9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8" w:rsidRPr="00FE3294" w:rsidRDefault="009E3628" w:rsidP="00DD0A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The essence and purpose of the investment project</w:t>
            </w:r>
          </w:p>
          <w:p w:rsidR="009E3628" w:rsidRPr="00FE3294" w:rsidRDefault="009E3628" w:rsidP="00DD0A9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8" w:rsidRPr="00FE3294" w:rsidRDefault="009E3628" w:rsidP="00DD0A9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project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envisages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a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capital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reconstruction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XVII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century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architectural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monument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national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significance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«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Barracks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Old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Fortress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».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Creation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on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basis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state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historical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and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architectural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monument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Ukraine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«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Barracks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Old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Fortress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  <w:r w:rsidRPr="00FE32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of a</w:t>
            </w:r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recreational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and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tourist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complex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with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corresponding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Infrastructure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r w:rsidRPr="00FE32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</w:t>
            </w:r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o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hold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health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improvement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people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from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all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over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Ukraine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on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basis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complex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r w:rsidRPr="00FE32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Accommodation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FE32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for</w:t>
            </w:r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visitors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and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tourists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city</w:t>
            </w:r>
            <w:proofErr w:type="spellEnd"/>
          </w:p>
        </w:tc>
      </w:tr>
      <w:tr w:rsidR="009E3628" w:rsidRPr="00FE3294" w:rsidTr="00DD0A9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8" w:rsidRPr="00FE3294" w:rsidRDefault="009E3628" w:rsidP="00DD0A9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type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economic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activity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which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is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invested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8" w:rsidRPr="00FE3294" w:rsidRDefault="009E3628" w:rsidP="00DD0A9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8"/>
                <w:lang/>
              </w:rPr>
            </w:pP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Tourist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and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recreational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activities</w:t>
            </w:r>
            <w:proofErr w:type="spellEnd"/>
          </w:p>
        </w:tc>
      </w:tr>
      <w:tr w:rsidR="009E3628" w:rsidRPr="00FE3294" w:rsidTr="00DD0A9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8" w:rsidRPr="00FE3294" w:rsidRDefault="009E3628" w:rsidP="00DD0A9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Organizational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form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cooperation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8" w:rsidRPr="00FE3294" w:rsidRDefault="009E3628" w:rsidP="00DD0A9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4" w:history="1">
              <w:r w:rsidRPr="00FE329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uk-UA"/>
                </w:rPr>
                <w:t xml:space="preserve">Public-private </w:t>
              </w:r>
              <w:proofErr w:type="spellStart"/>
              <w:r w:rsidRPr="00FE329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lang w:val="uk-UA"/>
                </w:rPr>
                <w:t>partnership</w:t>
              </w:r>
              <w:proofErr w:type="spellEnd"/>
            </w:hyperlink>
          </w:p>
        </w:tc>
      </w:tr>
      <w:tr w:rsidR="009E3628" w:rsidRPr="00FE3294" w:rsidTr="00DD0A9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8" w:rsidRPr="00FE3294" w:rsidRDefault="009E3628" w:rsidP="00DD0A9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The total project cost, thousands of US dollars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8" w:rsidRPr="00FE3294" w:rsidRDefault="009E3628" w:rsidP="00DD0A9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750</w:t>
            </w:r>
          </w:p>
        </w:tc>
      </w:tr>
      <w:tr w:rsidR="009E3628" w:rsidRPr="00FE3294" w:rsidTr="00DD0A9B">
        <w:trPr>
          <w:trHeight w:val="44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8" w:rsidRPr="00FE3294" w:rsidRDefault="009E3628" w:rsidP="00DD0A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Need for investments, thousands of US dollars (%)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8" w:rsidRPr="00FE3294" w:rsidRDefault="009E3628" w:rsidP="00DD0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</w:tr>
      <w:tr w:rsidR="009E3628" w:rsidRPr="00FE3294" w:rsidTr="00DD0A9B">
        <w:trPr>
          <w:trHeight w:val="3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8" w:rsidRPr="00FE3294" w:rsidRDefault="009E3628" w:rsidP="00DD0A9B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Ownership form; share of state property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8" w:rsidRPr="00FE3294" w:rsidRDefault="009E3628" w:rsidP="00DD0A9B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proofErr w:type="spellStart"/>
              <w:r w:rsidRPr="00FE3294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communal</w:t>
              </w:r>
              <w:proofErr w:type="spellEnd"/>
            </w:hyperlink>
          </w:p>
        </w:tc>
      </w:tr>
      <w:tr w:rsidR="009E3628" w:rsidRPr="00FE3294" w:rsidTr="00DD0A9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8" w:rsidRPr="00FE3294" w:rsidRDefault="009E3628" w:rsidP="00DD0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Resourcing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project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8" w:rsidRPr="00FE3294" w:rsidRDefault="009E3628" w:rsidP="00DD0A9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project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is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provided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with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</w:t>
            </w:r>
          </w:p>
          <w:p w:rsidR="009E3628" w:rsidRPr="00FE3294" w:rsidRDefault="009E3628" w:rsidP="00DD0A9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 a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land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plot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1.4360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hectares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two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three-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story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blocks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and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a two-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storied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building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premises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area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5246 m2,</w:t>
            </w:r>
          </w:p>
          <w:p w:rsidR="009E3628" w:rsidRPr="00FE3294" w:rsidRDefault="009E3628" w:rsidP="00DD0A9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opportunities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for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land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plot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development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: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establishment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an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international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restorative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eco-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center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for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medical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and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social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rehabilitation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on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basis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historical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and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architectural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monument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Ukraine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«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Barracks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Old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Fortress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  <w:p w:rsidR="009E3628" w:rsidRPr="00FE3294" w:rsidRDefault="009E3628" w:rsidP="00DD0A9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FE32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engineering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infrastructure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: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is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equipped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with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engineering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networks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there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is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a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water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supply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and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a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pressure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sewage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system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In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Smotrych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River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Canyon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between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«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Barracks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Old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Fortress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»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and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main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bridge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deposits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bromine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waters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high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mineralization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were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explored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distance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along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city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roads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from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deposit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to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complex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«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Barracks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Old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Fortress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  <w:r w:rsidRPr="00FE32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buildings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is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within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3750 m</w:t>
            </w:r>
          </w:p>
        </w:tc>
      </w:tr>
      <w:tr w:rsidR="009E3628" w:rsidRPr="00FE3294" w:rsidTr="00DD0A9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8" w:rsidRPr="00FE3294" w:rsidRDefault="009E3628" w:rsidP="00DD0A9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Stage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readiness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/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development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investment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project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8" w:rsidRPr="00FE3294" w:rsidRDefault="009E3628" w:rsidP="00DD0A9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8"/>
                <w:lang/>
              </w:rPr>
            </w:pPr>
            <w:r w:rsidRPr="00FE3294">
              <w:rPr>
                <w:rFonts w:ascii="Times New Roman" w:hAnsi="Times New Roman" w:cs="Times New Roman"/>
                <w:sz w:val="24"/>
                <w:szCs w:val="28"/>
                <w:lang/>
              </w:rPr>
              <w:t>The investment project has been prepared</w:t>
            </w:r>
          </w:p>
        </w:tc>
      </w:tr>
      <w:tr w:rsidR="009E3628" w:rsidRPr="00FE3294" w:rsidTr="00DD0A9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8" w:rsidRPr="00FE3294" w:rsidRDefault="009E3628" w:rsidP="00DD0A9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Details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enterprise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(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organization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8" w:rsidRPr="00FE3294" w:rsidRDefault="009E3628" w:rsidP="00DD0A9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32300, Kamianets-Podilskyi,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Vidrodzhennia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Square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1,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Department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Economy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and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Infrastructure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Development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city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9E3628" w:rsidRPr="00FE3294" w:rsidRDefault="009E3628" w:rsidP="00DD0A9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USREOU 26293407 </w:t>
            </w:r>
          </w:p>
        </w:tc>
      </w:tr>
      <w:tr w:rsidR="009E3628" w:rsidRPr="00FE3294" w:rsidTr="00DD0A9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8" w:rsidRPr="00FE3294" w:rsidRDefault="009E3628" w:rsidP="00DD0A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Contact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information</w:t>
            </w:r>
            <w:proofErr w:type="spellEnd"/>
            <w:r w:rsidRPr="00FE329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28" w:rsidRPr="00FE3294" w:rsidRDefault="009E3628" w:rsidP="00DD0A9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Head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Department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Economy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and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Infrastructure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Development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city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r w:rsidRPr="00FE32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Hurska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M.D.</w:t>
            </w:r>
          </w:p>
          <w:p w:rsidR="009E3628" w:rsidRPr="00FE3294" w:rsidRDefault="009E3628" w:rsidP="00DD0A9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E329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Phone</w:t>
            </w:r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 (03849) 5-07-05</w:t>
            </w:r>
          </w:p>
          <w:p w:rsidR="009E3628" w:rsidRPr="00FE3294" w:rsidRDefault="009E3628" w:rsidP="00DD0A9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E-</w:t>
            </w:r>
            <w:proofErr w:type="spellStart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mail</w:t>
            </w:r>
            <w:proofErr w:type="spellEnd"/>
            <w:r w:rsidRPr="00FE32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 dpekonom@kam-pod.gov.ua</w:t>
            </w:r>
          </w:p>
        </w:tc>
      </w:tr>
    </w:tbl>
    <w:p w:rsidR="009E3628" w:rsidRPr="00FE3294" w:rsidRDefault="009E3628" w:rsidP="009E362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192C" w:rsidRPr="009E3628" w:rsidRDefault="007F192C">
      <w:pPr>
        <w:rPr>
          <w:lang w:val="en-US"/>
        </w:rPr>
      </w:pPr>
    </w:p>
    <w:sectPr w:rsidR="007F192C" w:rsidRPr="009E3628" w:rsidSect="00CD7085">
      <w:pgSz w:w="11906" w:h="16838"/>
      <w:pgMar w:top="1134" w:right="851" w:bottom="53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628"/>
    <w:rsid w:val="007F192C"/>
    <w:rsid w:val="009E3628"/>
    <w:rsid w:val="00B6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28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text.reverso.net/&#1087;&#1077;&#1088;&#1077;&#1074;&#1086;&#1076;/&#1072;&#1085;&#1075;&#1083;&#1080;&#1081;&#1089;&#1082;&#1080;&#1081;-&#1088;&#1091;&#1089;&#1089;&#1082;&#1080;&#1081;/communal" TargetMode="External"/><Relationship Id="rId4" Type="http://schemas.openxmlformats.org/officeDocument/2006/relationships/hyperlink" Target="http://context.reverso.net/&#1087;&#1077;&#1088;&#1077;&#1074;&#1086;&#1076;/&#1072;&#1085;&#1075;&#1083;&#1080;&#1081;&#1089;&#1082;&#1080;&#1081;-&#1088;&#1091;&#1089;&#1089;&#1082;&#1080;&#1081;/Public-private+partnersh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2018-06-05T11:35:00Z</dcterms:created>
  <dcterms:modified xsi:type="dcterms:W3CDTF">2018-06-05T11:36:00Z</dcterms:modified>
</cp:coreProperties>
</file>