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09" w:rsidRPr="007E1209" w:rsidRDefault="007E1209" w:rsidP="007E1209">
      <w:pPr>
        <w:spacing w:before="450" w:after="450" w:line="240" w:lineRule="auto"/>
        <w:textAlignment w:val="baseline"/>
        <w:outlineLvl w:val="0"/>
        <w:rPr>
          <w:rFonts w:eastAsia="Times New Roman"/>
          <w:b/>
          <w:bCs/>
          <w:kern w:val="36"/>
          <w:lang w:val="uk-UA" w:eastAsia="ru-RU"/>
        </w:rPr>
      </w:pPr>
      <w:r w:rsidRPr="007E1209">
        <w:rPr>
          <w:rFonts w:eastAsia="Times New Roman"/>
          <w:b/>
          <w:bCs/>
          <w:kern w:val="36"/>
          <w:lang w:val="uk-UA" w:eastAsia="ru-RU"/>
        </w:rPr>
        <w:t>Стан впровадження заходів з реформи місцевого самоврядування</w:t>
      </w:r>
    </w:p>
    <w:p w:rsidR="007E1209" w:rsidRPr="007E1209" w:rsidRDefault="007E1209" w:rsidP="007E1209">
      <w:pPr>
        <w:spacing w:before="225" w:after="225" w:line="240" w:lineRule="auto"/>
        <w:jc w:val="both"/>
        <w:textAlignment w:val="baseline"/>
        <w:rPr>
          <w:rFonts w:eastAsia="Times New Roman"/>
          <w:lang w:val="uk-UA" w:eastAsia="ru-RU"/>
        </w:rPr>
      </w:pPr>
      <w:r w:rsidRPr="007E1209">
        <w:rPr>
          <w:rFonts w:eastAsia="Times New Roman"/>
          <w:lang w:val="uk-UA" w:eastAsia="ru-RU"/>
        </w:rPr>
        <w:t>Хмельницька область вже четвертий рік поспіль залишається одним із лідерів серед регіонів України за результатами впровадження реформи місцевого самоврядування та децентралізації влади.</w:t>
      </w:r>
    </w:p>
    <w:p w:rsidR="007E1209" w:rsidRPr="007E1209" w:rsidRDefault="007E1209" w:rsidP="007E1209">
      <w:pPr>
        <w:spacing w:before="225" w:after="225" w:line="240" w:lineRule="auto"/>
        <w:jc w:val="both"/>
        <w:textAlignment w:val="baseline"/>
        <w:rPr>
          <w:rFonts w:eastAsia="Times New Roman"/>
          <w:lang w:val="uk-UA" w:eastAsia="ru-RU"/>
        </w:rPr>
      </w:pPr>
      <w:r w:rsidRPr="007E1209">
        <w:rPr>
          <w:rFonts w:eastAsia="Times New Roman"/>
          <w:lang w:val="uk-UA" w:eastAsia="ru-RU"/>
        </w:rPr>
        <w:t xml:space="preserve">Станом на 20 жовтня 2018 року кількість утворених об’єднаних територіальних громад становить 42, площа яких 11,18 тис. </w:t>
      </w:r>
      <w:proofErr w:type="spellStart"/>
      <w:r w:rsidRPr="007E1209">
        <w:rPr>
          <w:rFonts w:eastAsia="Times New Roman"/>
          <w:lang w:val="uk-UA" w:eastAsia="ru-RU"/>
        </w:rPr>
        <w:t>кв.км</w:t>
      </w:r>
      <w:proofErr w:type="spellEnd"/>
      <w:r w:rsidRPr="007E1209">
        <w:rPr>
          <w:rFonts w:eastAsia="Times New Roman"/>
          <w:lang w:val="uk-UA" w:eastAsia="ru-RU"/>
        </w:rPr>
        <w:t xml:space="preserve"> (54,1% площі області), увійшли 766 населених пунктів з населенням 505,43 тис. осіб (39,7% від населення області, 332 базових рад).</w:t>
      </w:r>
    </w:p>
    <w:p w:rsidR="007E1209" w:rsidRPr="007E1209" w:rsidRDefault="007E1209" w:rsidP="007E1209">
      <w:pPr>
        <w:spacing w:before="225" w:after="225" w:line="240" w:lineRule="auto"/>
        <w:jc w:val="both"/>
        <w:textAlignment w:val="baseline"/>
        <w:rPr>
          <w:rFonts w:eastAsia="Times New Roman"/>
          <w:lang w:val="uk-UA" w:eastAsia="ru-RU"/>
        </w:rPr>
      </w:pPr>
      <w:r w:rsidRPr="007E1209">
        <w:rPr>
          <w:rFonts w:eastAsia="Times New Roman"/>
          <w:lang w:val="uk-UA" w:eastAsia="ru-RU"/>
        </w:rPr>
        <w:t xml:space="preserve">Облдержадміністрацією у січені-жовтні 2018 року надано 10 висновків на відповідність Конституції та законам України проектів рішень щодо утворення об’єднаних територіальних громад (Білогірської, </w:t>
      </w:r>
      <w:proofErr w:type="spellStart"/>
      <w:r w:rsidRPr="007E1209">
        <w:rPr>
          <w:rFonts w:eastAsia="Times New Roman"/>
          <w:lang w:val="uk-UA" w:eastAsia="ru-RU"/>
        </w:rPr>
        <w:t>Улашанівської</w:t>
      </w:r>
      <w:proofErr w:type="spellEnd"/>
      <w:r w:rsidRPr="007E1209">
        <w:rPr>
          <w:rFonts w:eastAsia="Times New Roman"/>
          <w:lang w:val="uk-UA" w:eastAsia="ru-RU"/>
        </w:rPr>
        <w:t xml:space="preserve">, </w:t>
      </w:r>
      <w:proofErr w:type="spellStart"/>
      <w:r w:rsidRPr="007E1209">
        <w:rPr>
          <w:rFonts w:eastAsia="Times New Roman"/>
          <w:lang w:val="uk-UA" w:eastAsia="ru-RU"/>
        </w:rPr>
        <w:t>Ямпільської</w:t>
      </w:r>
      <w:proofErr w:type="spellEnd"/>
      <w:r w:rsidRPr="007E1209">
        <w:rPr>
          <w:rFonts w:eastAsia="Times New Roman"/>
          <w:lang w:val="uk-UA" w:eastAsia="ru-RU"/>
        </w:rPr>
        <w:t xml:space="preserve">, </w:t>
      </w:r>
      <w:proofErr w:type="spellStart"/>
      <w:r w:rsidRPr="007E1209">
        <w:rPr>
          <w:rFonts w:eastAsia="Times New Roman"/>
          <w:lang w:val="uk-UA" w:eastAsia="ru-RU"/>
        </w:rPr>
        <w:t>Теофіпольської</w:t>
      </w:r>
      <w:proofErr w:type="spellEnd"/>
      <w:r w:rsidRPr="007E1209">
        <w:rPr>
          <w:rFonts w:eastAsia="Times New Roman"/>
          <w:lang w:val="uk-UA" w:eastAsia="ru-RU"/>
        </w:rPr>
        <w:t xml:space="preserve">, </w:t>
      </w:r>
      <w:proofErr w:type="spellStart"/>
      <w:r w:rsidRPr="007E1209">
        <w:rPr>
          <w:rFonts w:eastAsia="Times New Roman"/>
          <w:lang w:val="uk-UA" w:eastAsia="ru-RU"/>
        </w:rPr>
        <w:t>Новоставецької</w:t>
      </w:r>
      <w:proofErr w:type="spellEnd"/>
      <w:r w:rsidRPr="007E1209">
        <w:rPr>
          <w:rFonts w:eastAsia="Times New Roman"/>
          <w:lang w:val="uk-UA" w:eastAsia="ru-RU"/>
        </w:rPr>
        <w:t>) та 5 висновків щодо добровільного приєднання до об’єднаної територіальної громади (</w:t>
      </w:r>
      <w:proofErr w:type="spellStart"/>
      <w:r w:rsidRPr="007E1209">
        <w:rPr>
          <w:rFonts w:eastAsia="Times New Roman"/>
          <w:lang w:val="uk-UA" w:eastAsia="ru-RU"/>
        </w:rPr>
        <w:t>Гуменецької</w:t>
      </w:r>
      <w:proofErr w:type="spellEnd"/>
      <w:r w:rsidRPr="007E1209">
        <w:rPr>
          <w:rFonts w:eastAsia="Times New Roman"/>
          <w:lang w:val="uk-UA" w:eastAsia="ru-RU"/>
        </w:rPr>
        <w:t xml:space="preserve"> та Купецької сільських, Полонської та Волочиської міських ОТГ та  м. Славута).</w:t>
      </w:r>
    </w:p>
    <w:p w:rsidR="007E1209" w:rsidRPr="007E1209" w:rsidRDefault="007E1209" w:rsidP="007E1209">
      <w:pPr>
        <w:spacing w:before="225" w:after="225" w:line="240" w:lineRule="auto"/>
        <w:jc w:val="both"/>
        <w:textAlignment w:val="baseline"/>
        <w:rPr>
          <w:rFonts w:eastAsia="Times New Roman"/>
          <w:lang w:val="uk-UA" w:eastAsia="ru-RU"/>
        </w:rPr>
      </w:pPr>
      <w:r w:rsidRPr="007E1209">
        <w:rPr>
          <w:rFonts w:eastAsia="Times New Roman"/>
          <w:lang w:val="uk-UA" w:eastAsia="ru-RU"/>
        </w:rPr>
        <w:t xml:space="preserve">Утворено Білогірську селищну та </w:t>
      </w:r>
      <w:proofErr w:type="spellStart"/>
      <w:r w:rsidRPr="007E1209">
        <w:rPr>
          <w:rFonts w:eastAsia="Times New Roman"/>
          <w:lang w:val="uk-UA" w:eastAsia="ru-RU"/>
        </w:rPr>
        <w:t>Шаровечківську</w:t>
      </w:r>
      <w:proofErr w:type="spellEnd"/>
      <w:r w:rsidRPr="007E1209">
        <w:rPr>
          <w:rFonts w:eastAsia="Times New Roman"/>
          <w:lang w:val="uk-UA" w:eastAsia="ru-RU"/>
        </w:rPr>
        <w:t xml:space="preserve"> сільську ОТГ,  у яких у квітні поточного року відповідно до постанови ЦВК відбулись перші вибори депутатів місцевих рад та голів об’єднаних громад. 23 грудня 2018 року відбудуться перші вибори депутатів та голів місцевих рад </w:t>
      </w:r>
      <w:proofErr w:type="spellStart"/>
      <w:r w:rsidRPr="007E1209">
        <w:rPr>
          <w:rFonts w:eastAsia="Times New Roman"/>
          <w:lang w:val="uk-UA" w:eastAsia="ru-RU"/>
        </w:rPr>
        <w:t>Улашанівської</w:t>
      </w:r>
      <w:proofErr w:type="spellEnd"/>
      <w:r w:rsidRPr="007E1209">
        <w:rPr>
          <w:rFonts w:eastAsia="Times New Roman"/>
          <w:lang w:val="uk-UA" w:eastAsia="ru-RU"/>
        </w:rPr>
        <w:t xml:space="preserve">, </w:t>
      </w:r>
      <w:proofErr w:type="spellStart"/>
      <w:r w:rsidRPr="007E1209">
        <w:rPr>
          <w:rFonts w:eastAsia="Times New Roman"/>
          <w:lang w:val="uk-UA" w:eastAsia="ru-RU"/>
        </w:rPr>
        <w:t>Ямпільської</w:t>
      </w:r>
      <w:proofErr w:type="spellEnd"/>
      <w:r w:rsidRPr="007E1209">
        <w:rPr>
          <w:rFonts w:eastAsia="Times New Roman"/>
          <w:lang w:val="uk-UA" w:eastAsia="ru-RU"/>
        </w:rPr>
        <w:t xml:space="preserve">, </w:t>
      </w:r>
      <w:proofErr w:type="spellStart"/>
      <w:r w:rsidRPr="007E1209">
        <w:rPr>
          <w:rFonts w:eastAsia="Times New Roman"/>
          <w:lang w:val="uk-UA" w:eastAsia="ru-RU"/>
        </w:rPr>
        <w:t>Новоставецької</w:t>
      </w:r>
      <w:proofErr w:type="spellEnd"/>
      <w:r w:rsidRPr="007E1209">
        <w:rPr>
          <w:rFonts w:eastAsia="Times New Roman"/>
          <w:lang w:val="uk-UA" w:eastAsia="ru-RU"/>
        </w:rPr>
        <w:t xml:space="preserve"> ОТГ. ЦВК не призначено додаткових виборів депутатів у </w:t>
      </w:r>
      <w:proofErr w:type="spellStart"/>
      <w:r w:rsidRPr="007E1209">
        <w:rPr>
          <w:rFonts w:eastAsia="Times New Roman"/>
          <w:lang w:val="uk-UA" w:eastAsia="ru-RU"/>
        </w:rPr>
        <w:t>Гуменецькій</w:t>
      </w:r>
      <w:proofErr w:type="spellEnd"/>
      <w:r w:rsidRPr="007E1209">
        <w:rPr>
          <w:rFonts w:eastAsia="Times New Roman"/>
          <w:lang w:val="uk-UA" w:eastAsia="ru-RU"/>
        </w:rPr>
        <w:t xml:space="preserve">  та Купецькій ОТГ, до яких приєднались сільські ради.</w:t>
      </w:r>
    </w:p>
    <w:p w:rsidR="007E1209" w:rsidRPr="007E1209" w:rsidRDefault="007E1209" w:rsidP="007E1209">
      <w:pPr>
        <w:spacing w:before="225" w:after="225" w:line="240" w:lineRule="auto"/>
        <w:jc w:val="both"/>
        <w:textAlignment w:val="baseline"/>
        <w:rPr>
          <w:rFonts w:eastAsia="Times New Roman"/>
          <w:lang w:val="uk-UA" w:eastAsia="ru-RU"/>
        </w:rPr>
      </w:pPr>
      <w:r w:rsidRPr="007E1209">
        <w:rPr>
          <w:rFonts w:eastAsia="Times New Roman"/>
          <w:lang w:val="uk-UA" w:eastAsia="ru-RU"/>
        </w:rPr>
        <w:t xml:space="preserve">Чинним законодавством не передбачено проведення додаткових виборів у міських об’єднаних громадах (Полонській, Волочиській та </w:t>
      </w:r>
      <w:proofErr w:type="spellStart"/>
      <w:r w:rsidRPr="007E1209">
        <w:rPr>
          <w:rFonts w:eastAsia="Times New Roman"/>
          <w:lang w:val="uk-UA" w:eastAsia="ru-RU"/>
        </w:rPr>
        <w:t>Славутській</w:t>
      </w:r>
      <w:proofErr w:type="spellEnd"/>
      <w:r w:rsidRPr="007E1209">
        <w:rPr>
          <w:rFonts w:eastAsia="Times New Roman"/>
          <w:lang w:val="uk-UA" w:eastAsia="ru-RU"/>
        </w:rPr>
        <w:t xml:space="preserve"> ОТГ).</w:t>
      </w:r>
    </w:p>
    <w:p w:rsidR="007E1209" w:rsidRPr="007E1209" w:rsidRDefault="007E1209" w:rsidP="007E1209">
      <w:pPr>
        <w:spacing w:before="225" w:after="225" w:line="240" w:lineRule="auto"/>
        <w:jc w:val="both"/>
        <w:textAlignment w:val="baseline"/>
        <w:rPr>
          <w:rFonts w:eastAsia="Times New Roman"/>
          <w:lang w:val="uk-UA" w:eastAsia="ru-RU"/>
        </w:rPr>
      </w:pPr>
      <w:r w:rsidRPr="007E1209">
        <w:rPr>
          <w:rFonts w:eastAsia="Times New Roman"/>
          <w:lang w:val="uk-UA" w:eastAsia="ru-RU"/>
        </w:rPr>
        <w:t xml:space="preserve">На даний час не утворено жодної об’єднаної територіальної громади у </w:t>
      </w:r>
      <w:proofErr w:type="spellStart"/>
      <w:r w:rsidRPr="007E1209">
        <w:rPr>
          <w:rFonts w:eastAsia="Times New Roman"/>
          <w:lang w:val="uk-UA" w:eastAsia="ru-RU"/>
        </w:rPr>
        <w:t>Віньковецькому</w:t>
      </w:r>
      <w:proofErr w:type="spellEnd"/>
      <w:r w:rsidRPr="007E1209">
        <w:rPr>
          <w:rFonts w:eastAsia="Times New Roman"/>
          <w:lang w:val="uk-UA" w:eastAsia="ru-RU"/>
        </w:rPr>
        <w:t xml:space="preserve">, </w:t>
      </w:r>
      <w:proofErr w:type="spellStart"/>
      <w:r w:rsidRPr="007E1209">
        <w:rPr>
          <w:rFonts w:eastAsia="Times New Roman"/>
          <w:lang w:val="uk-UA" w:eastAsia="ru-RU"/>
        </w:rPr>
        <w:t>Ізяславському</w:t>
      </w:r>
      <w:proofErr w:type="spellEnd"/>
      <w:r w:rsidRPr="007E1209">
        <w:rPr>
          <w:rFonts w:eastAsia="Times New Roman"/>
          <w:lang w:val="uk-UA" w:eastAsia="ru-RU"/>
        </w:rPr>
        <w:t xml:space="preserve">, </w:t>
      </w:r>
      <w:proofErr w:type="spellStart"/>
      <w:r w:rsidRPr="007E1209">
        <w:rPr>
          <w:rFonts w:eastAsia="Times New Roman"/>
          <w:lang w:val="uk-UA" w:eastAsia="ru-RU"/>
        </w:rPr>
        <w:t>Старокостянтинівському</w:t>
      </w:r>
      <w:proofErr w:type="spellEnd"/>
      <w:r w:rsidRPr="007E1209">
        <w:rPr>
          <w:rFonts w:eastAsia="Times New Roman"/>
          <w:lang w:val="uk-UA" w:eastAsia="ru-RU"/>
        </w:rPr>
        <w:t xml:space="preserve"> районах області.</w:t>
      </w:r>
    </w:p>
    <w:p w:rsidR="007E1209" w:rsidRPr="007E1209" w:rsidRDefault="007E1209" w:rsidP="007E1209">
      <w:pPr>
        <w:spacing w:before="225" w:after="225" w:line="240" w:lineRule="auto"/>
        <w:jc w:val="both"/>
        <w:textAlignment w:val="baseline"/>
        <w:rPr>
          <w:rFonts w:eastAsia="Times New Roman"/>
          <w:lang w:val="uk-UA" w:eastAsia="ru-RU"/>
        </w:rPr>
      </w:pPr>
      <w:r w:rsidRPr="007E1209">
        <w:rPr>
          <w:rFonts w:eastAsia="Times New Roman"/>
          <w:lang w:val="uk-UA" w:eastAsia="ru-RU"/>
        </w:rPr>
        <w:t xml:space="preserve">Позитивна динаміка наповнення бюджетів громад на практиці підтверджує ефективність розпочатих реформ децентралізації фінансових ресурсів держави. Найефективніше працюють та забезпечують розвиток територій такі об’єднані громади як Волочиська та </w:t>
      </w:r>
      <w:proofErr w:type="spellStart"/>
      <w:r w:rsidRPr="007E1209">
        <w:rPr>
          <w:rFonts w:eastAsia="Times New Roman"/>
          <w:lang w:val="uk-UA" w:eastAsia="ru-RU"/>
        </w:rPr>
        <w:t>Дунаєвецька</w:t>
      </w:r>
      <w:proofErr w:type="spellEnd"/>
      <w:r w:rsidRPr="007E1209">
        <w:rPr>
          <w:rFonts w:eastAsia="Times New Roman"/>
          <w:lang w:val="uk-UA" w:eastAsia="ru-RU"/>
        </w:rPr>
        <w:t xml:space="preserve"> міські, </w:t>
      </w:r>
      <w:proofErr w:type="spellStart"/>
      <w:r w:rsidRPr="007E1209">
        <w:rPr>
          <w:rFonts w:eastAsia="Times New Roman"/>
          <w:lang w:val="uk-UA" w:eastAsia="ru-RU"/>
        </w:rPr>
        <w:t>Новоушицька</w:t>
      </w:r>
      <w:proofErr w:type="spellEnd"/>
      <w:r w:rsidRPr="007E1209">
        <w:rPr>
          <w:rFonts w:eastAsia="Times New Roman"/>
          <w:lang w:val="uk-UA" w:eastAsia="ru-RU"/>
        </w:rPr>
        <w:t xml:space="preserve">, </w:t>
      </w:r>
      <w:proofErr w:type="spellStart"/>
      <w:r w:rsidRPr="007E1209">
        <w:rPr>
          <w:rFonts w:eastAsia="Times New Roman"/>
          <w:lang w:val="uk-UA" w:eastAsia="ru-RU"/>
        </w:rPr>
        <w:t>Чемеровецька</w:t>
      </w:r>
      <w:proofErr w:type="spellEnd"/>
      <w:r w:rsidRPr="007E1209">
        <w:rPr>
          <w:rFonts w:eastAsia="Times New Roman"/>
          <w:lang w:val="uk-UA" w:eastAsia="ru-RU"/>
        </w:rPr>
        <w:t xml:space="preserve"> та </w:t>
      </w:r>
      <w:proofErr w:type="spellStart"/>
      <w:r w:rsidRPr="007E1209">
        <w:rPr>
          <w:rFonts w:eastAsia="Times New Roman"/>
          <w:lang w:val="uk-UA" w:eastAsia="ru-RU"/>
        </w:rPr>
        <w:t>Сатанівська</w:t>
      </w:r>
      <w:proofErr w:type="spellEnd"/>
      <w:r w:rsidRPr="007E1209">
        <w:rPr>
          <w:rFonts w:eastAsia="Times New Roman"/>
          <w:lang w:val="uk-UA" w:eastAsia="ru-RU"/>
        </w:rPr>
        <w:t xml:space="preserve"> селищні, </w:t>
      </w:r>
      <w:proofErr w:type="spellStart"/>
      <w:r w:rsidRPr="007E1209">
        <w:rPr>
          <w:rFonts w:eastAsia="Times New Roman"/>
          <w:lang w:val="uk-UA" w:eastAsia="ru-RU"/>
        </w:rPr>
        <w:t>Гуменецька</w:t>
      </w:r>
      <w:proofErr w:type="spellEnd"/>
      <w:r w:rsidRPr="007E1209">
        <w:rPr>
          <w:rFonts w:eastAsia="Times New Roman"/>
          <w:lang w:val="uk-UA" w:eastAsia="ru-RU"/>
        </w:rPr>
        <w:t xml:space="preserve">, </w:t>
      </w:r>
      <w:proofErr w:type="spellStart"/>
      <w:r w:rsidRPr="007E1209">
        <w:rPr>
          <w:rFonts w:eastAsia="Times New Roman"/>
          <w:lang w:val="uk-UA" w:eastAsia="ru-RU"/>
        </w:rPr>
        <w:t>Колибаївська</w:t>
      </w:r>
      <w:proofErr w:type="spellEnd"/>
      <w:r w:rsidRPr="007E1209">
        <w:rPr>
          <w:rFonts w:eastAsia="Times New Roman"/>
          <w:lang w:val="uk-UA" w:eastAsia="ru-RU"/>
        </w:rPr>
        <w:t xml:space="preserve"> та </w:t>
      </w:r>
      <w:proofErr w:type="spellStart"/>
      <w:r w:rsidRPr="007E1209">
        <w:rPr>
          <w:rFonts w:eastAsia="Times New Roman"/>
          <w:lang w:val="uk-UA" w:eastAsia="ru-RU"/>
        </w:rPr>
        <w:t>Розсошанська</w:t>
      </w:r>
      <w:proofErr w:type="spellEnd"/>
      <w:r w:rsidRPr="007E1209">
        <w:rPr>
          <w:rFonts w:eastAsia="Times New Roman"/>
          <w:lang w:val="uk-UA" w:eastAsia="ru-RU"/>
        </w:rPr>
        <w:t xml:space="preserve"> сільські громади.</w:t>
      </w:r>
    </w:p>
    <w:p w:rsidR="007E1209" w:rsidRPr="007E1209" w:rsidRDefault="007E1209" w:rsidP="007E1209">
      <w:pPr>
        <w:spacing w:before="225" w:after="225" w:line="240" w:lineRule="auto"/>
        <w:jc w:val="both"/>
        <w:textAlignment w:val="baseline"/>
        <w:rPr>
          <w:rFonts w:eastAsia="Times New Roman"/>
          <w:lang w:val="uk-UA" w:eastAsia="ru-RU"/>
        </w:rPr>
      </w:pPr>
      <w:r w:rsidRPr="007E1209">
        <w:rPr>
          <w:rFonts w:eastAsia="Times New Roman"/>
          <w:lang w:val="uk-UA" w:eastAsia="ru-RU"/>
        </w:rPr>
        <w:t>З державного бюджету 39-и об’єднаним територіальним громадам в якості фінансової підтримки з державного бюджету спрямовано субвенцію на формування інфраструктури в обсязі 143 млн. 265 тисяч гривень.</w:t>
      </w:r>
    </w:p>
    <w:p w:rsidR="007E1209" w:rsidRPr="007E1209" w:rsidRDefault="007E1209" w:rsidP="007E1209">
      <w:pPr>
        <w:spacing w:before="225" w:after="225" w:line="240" w:lineRule="auto"/>
        <w:jc w:val="both"/>
        <w:textAlignment w:val="baseline"/>
        <w:rPr>
          <w:rFonts w:eastAsia="Times New Roman"/>
          <w:lang w:val="uk-UA" w:eastAsia="ru-RU"/>
        </w:rPr>
      </w:pPr>
      <w:r w:rsidRPr="007E1209">
        <w:rPr>
          <w:rFonts w:eastAsia="Times New Roman"/>
          <w:lang w:val="uk-UA" w:eastAsia="ru-RU"/>
        </w:rPr>
        <w:lastRenderedPageBreak/>
        <w:t>Кошти об’єднаними територіальними громадами розподілено на 179 проектів, на які облдержадміністрацією надано позитивні висновки.</w:t>
      </w:r>
    </w:p>
    <w:p w:rsidR="007E1209" w:rsidRPr="007E1209" w:rsidRDefault="007E1209" w:rsidP="007E1209">
      <w:pPr>
        <w:spacing w:before="225" w:after="225" w:line="240" w:lineRule="auto"/>
        <w:jc w:val="both"/>
        <w:textAlignment w:val="baseline"/>
        <w:rPr>
          <w:rFonts w:eastAsia="Times New Roman"/>
          <w:lang w:val="uk-UA" w:eastAsia="ru-RU"/>
        </w:rPr>
      </w:pPr>
      <w:r w:rsidRPr="007E1209">
        <w:rPr>
          <w:rFonts w:eastAsia="Times New Roman"/>
          <w:lang w:val="uk-UA" w:eastAsia="ru-RU"/>
        </w:rPr>
        <w:t>Найбільше коштів спрямовано на:</w:t>
      </w:r>
    </w:p>
    <w:p w:rsidR="007E1209" w:rsidRPr="007E1209" w:rsidRDefault="007E1209" w:rsidP="007E1209">
      <w:pPr>
        <w:spacing w:before="225" w:after="225" w:line="240" w:lineRule="auto"/>
        <w:jc w:val="both"/>
        <w:textAlignment w:val="baseline"/>
        <w:rPr>
          <w:rFonts w:eastAsia="Times New Roman"/>
          <w:lang w:val="uk-UA" w:eastAsia="ru-RU"/>
        </w:rPr>
      </w:pPr>
      <w:r w:rsidRPr="007E1209">
        <w:rPr>
          <w:rFonts w:eastAsia="Times New Roman"/>
          <w:lang w:val="uk-UA" w:eastAsia="ru-RU"/>
        </w:rPr>
        <w:t>– проекти у сфері житлово-комунального господарства – 25,6%;</w:t>
      </w:r>
    </w:p>
    <w:p w:rsidR="007E1209" w:rsidRPr="007E1209" w:rsidRDefault="007E1209" w:rsidP="007E1209">
      <w:pPr>
        <w:spacing w:before="225" w:after="225" w:line="240" w:lineRule="auto"/>
        <w:jc w:val="both"/>
        <w:textAlignment w:val="baseline"/>
        <w:rPr>
          <w:rFonts w:eastAsia="Times New Roman"/>
          <w:lang w:val="uk-UA" w:eastAsia="ru-RU"/>
        </w:rPr>
      </w:pPr>
      <w:r w:rsidRPr="007E1209">
        <w:rPr>
          <w:rFonts w:eastAsia="Times New Roman"/>
          <w:lang w:val="uk-UA" w:eastAsia="ru-RU"/>
        </w:rPr>
        <w:t>– закупівлю спеціалізованих транспортних засобів – 23,8%;</w:t>
      </w:r>
    </w:p>
    <w:p w:rsidR="007E1209" w:rsidRPr="007E1209" w:rsidRDefault="007E1209" w:rsidP="007E1209">
      <w:pPr>
        <w:spacing w:before="225" w:after="225" w:line="240" w:lineRule="auto"/>
        <w:jc w:val="both"/>
        <w:textAlignment w:val="baseline"/>
        <w:rPr>
          <w:rFonts w:eastAsia="Times New Roman"/>
          <w:lang w:val="uk-UA" w:eastAsia="ru-RU"/>
        </w:rPr>
      </w:pPr>
      <w:r w:rsidRPr="007E1209">
        <w:rPr>
          <w:rFonts w:eastAsia="Times New Roman"/>
          <w:lang w:val="uk-UA" w:eastAsia="ru-RU"/>
        </w:rPr>
        <w:t>– проекти у сфері дорожньо-транспортної інфраструктури – 19,6%;</w:t>
      </w:r>
    </w:p>
    <w:p w:rsidR="007E1209" w:rsidRPr="007E1209" w:rsidRDefault="007E1209" w:rsidP="007E1209">
      <w:pPr>
        <w:spacing w:before="225" w:after="225" w:line="240" w:lineRule="auto"/>
        <w:jc w:val="both"/>
        <w:textAlignment w:val="baseline"/>
        <w:rPr>
          <w:rFonts w:eastAsia="Times New Roman"/>
          <w:lang w:val="uk-UA" w:eastAsia="ru-RU"/>
        </w:rPr>
      </w:pPr>
      <w:r w:rsidRPr="007E1209">
        <w:rPr>
          <w:rFonts w:eastAsia="Times New Roman"/>
          <w:lang w:val="uk-UA" w:eastAsia="ru-RU"/>
        </w:rPr>
        <w:t>– проекти з реконструкції, капітального ремонту закладів освіти 19,6 відсотка.</w:t>
      </w:r>
    </w:p>
    <w:p w:rsidR="007E1209" w:rsidRPr="007E1209" w:rsidRDefault="007E1209" w:rsidP="007E1209">
      <w:pPr>
        <w:spacing w:before="225" w:after="225" w:line="240" w:lineRule="auto"/>
        <w:jc w:val="both"/>
        <w:textAlignment w:val="baseline"/>
        <w:rPr>
          <w:rFonts w:eastAsia="Times New Roman"/>
          <w:lang w:val="uk-UA" w:eastAsia="ru-RU"/>
        </w:rPr>
      </w:pPr>
      <w:r w:rsidRPr="007E1209">
        <w:rPr>
          <w:rFonts w:eastAsia="Times New Roman"/>
          <w:lang w:val="uk-UA" w:eastAsia="ru-RU"/>
        </w:rPr>
        <w:t>За кошти субвенції також здійснюються капітальні ремонти та реконструкція адміністративних будівель, закладів культури, охорони здоров’я, виготовлення проектно-кошторисної документації.</w:t>
      </w:r>
    </w:p>
    <w:p w:rsidR="007E1209" w:rsidRPr="007E1209" w:rsidRDefault="007E1209" w:rsidP="007E1209">
      <w:pPr>
        <w:spacing w:before="225" w:after="225" w:line="240" w:lineRule="auto"/>
        <w:jc w:val="both"/>
        <w:textAlignment w:val="baseline"/>
        <w:rPr>
          <w:rFonts w:eastAsia="Times New Roman"/>
          <w:lang w:val="uk-UA" w:eastAsia="ru-RU"/>
        </w:rPr>
      </w:pPr>
      <w:r w:rsidRPr="007E1209">
        <w:rPr>
          <w:rFonts w:eastAsia="Times New Roman"/>
          <w:lang w:val="uk-UA" w:eastAsia="ru-RU"/>
        </w:rPr>
        <w:t>У поточному році облдержадміністрацією проект перспективного плану формування громад області доопрацьовано по всій території області. Передбачено утворення на території області 62 ОТГ. 14 червня 2018 року рішенням обласної ради схвалено зміни до проекту перспективного плану формування територій громад в межах усієї території області. На підставі рішення сесії обласної ради розроблено та подано на Кабінет Міністрів України проект розпорядження Уряду щодо внесення змін у розпорядження Кабінету Міністрів України від 8 вересня 2015 року №924-р. про затвердження перспективного плану формування територій громад Хмельницької області.</w:t>
      </w:r>
    </w:p>
    <w:p w:rsidR="002D0C73" w:rsidRPr="007E1209" w:rsidRDefault="002D0C73">
      <w:pPr>
        <w:rPr>
          <w:lang w:val="uk-UA"/>
        </w:rPr>
      </w:pPr>
    </w:p>
    <w:sectPr w:rsidR="002D0C73" w:rsidRPr="007E1209" w:rsidSect="002D0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1209"/>
    <w:rsid w:val="002D0C73"/>
    <w:rsid w:val="005F53A2"/>
    <w:rsid w:val="007E1209"/>
    <w:rsid w:val="00BC5911"/>
    <w:rsid w:val="00C36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C73"/>
  </w:style>
  <w:style w:type="paragraph" w:styleId="1">
    <w:name w:val="heading 1"/>
    <w:basedOn w:val="a"/>
    <w:link w:val="10"/>
    <w:uiPriority w:val="9"/>
    <w:qFormat/>
    <w:rsid w:val="007E1209"/>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209"/>
    <w:rPr>
      <w:rFonts w:eastAsia="Times New Roman"/>
      <w:b/>
      <w:bCs/>
      <w:kern w:val="36"/>
      <w:sz w:val="48"/>
      <w:szCs w:val="48"/>
      <w:lang w:eastAsia="ru-RU"/>
    </w:rPr>
  </w:style>
  <w:style w:type="paragraph" w:styleId="a3">
    <w:name w:val="Normal (Web)"/>
    <w:basedOn w:val="a"/>
    <w:uiPriority w:val="99"/>
    <w:semiHidden/>
    <w:unhideWhenUsed/>
    <w:rsid w:val="007E1209"/>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4431838">
      <w:bodyDiv w:val="1"/>
      <w:marLeft w:val="0"/>
      <w:marRight w:val="0"/>
      <w:marTop w:val="0"/>
      <w:marBottom w:val="0"/>
      <w:divBdr>
        <w:top w:val="none" w:sz="0" w:space="0" w:color="auto"/>
        <w:left w:val="none" w:sz="0" w:space="0" w:color="auto"/>
        <w:bottom w:val="none" w:sz="0" w:space="0" w:color="auto"/>
        <w:right w:val="none" w:sz="0" w:space="0" w:color="auto"/>
      </w:divBdr>
      <w:divsChild>
        <w:div w:id="2134905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2950</Characters>
  <Application>Microsoft Office Word</Application>
  <DocSecurity>0</DocSecurity>
  <Lines>24</Lines>
  <Paragraphs>6</Paragraphs>
  <ScaleCrop>false</ScaleCrop>
  <Company>Reanimator Extreme Edition</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Преса</dc:creator>
  <cp:lastModifiedBy>Преса</cp:lastModifiedBy>
  <cp:revision>1</cp:revision>
  <dcterms:created xsi:type="dcterms:W3CDTF">2018-10-30T14:23:00Z</dcterms:created>
  <dcterms:modified xsi:type="dcterms:W3CDTF">2018-10-30T14:30:00Z</dcterms:modified>
</cp:coreProperties>
</file>