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741FE5" w:rsidRPr="005D4CCD" w:rsidTr="00741FE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741FE5" w:rsidRPr="005D4CCD" w:rsidRDefault="00741FE5" w:rsidP="00741FE5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5D4CCD">
              <w:rPr>
                <w:b w:val="0"/>
                <w:bCs w:val="0"/>
                <w:sz w:val="26"/>
              </w:rPr>
              <w:t>Додаток 2</w:t>
            </w:r>
          </w:p>
          <w:p w:rsidR="00741FE5" w:rsidRPr="005D4CCD" w:rsidRDefault="00741FE5" w:rsidP="00741FE5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5D4CCD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741FE5" w:rsidRPr="005D4CCD" w:rsidRDefault="00741FE5" w:rsidP="00741FE5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5D4CCD">
              <w:rPr>
                <w:spacing w:val="-10"/>
                <w:sz w:val="26"/>
                <w:lang w:val="uk-UA"/>
              </w:rPr>
              <w:t>від 29.10.2012 № 303/2012-р</w:t>
            </w:r>
          </w:p>
          <w:p w:rsidR="00741FE5" w:rsidRPr="005D4CCD" w:rsidRDefault="00741FE5" w:rsidP="00741FE5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5D4CCD">
              <w:rPr>
                <w:spacing w:val="-14"/>
                <w:sz w:val="26"/>
                <w:szCs w:val="26"/>
                <w:lang w:val="uk-UA"/>
              </w:rPr>
              <w:t>(</w:t>
            </w:r>
            <w:r w:rsidRPr="005D4CCD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741FE5" w:rsidRPr="005D4CCD" w:rsidRDefault="00D94D14" w:rsidP="00741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16.05.</w:t>
            </w:r>
            <w:r w:rsidR="00741FE5">
              <w:rPr>
                <w:rFonts w:ascii="Times New Roman" w:hAnsi="Times New Roman"/>
                <w:sz w:val="26"/>
              </w:rPr>
              <w:t>2013</w:t>
            </w:r>
            <w:r w:rsidR="00741FE5" w:rsidRPr="005D4CCD">
              <w:rPr>
                <w:rFonts w:ascii="Times New Roman" w:hAnsi="Times New Roman"/>
                <w:sz w:val="26"/>
              </w:rPr>
              <w:t xml:space="preserve"> № </w:t>
            </w:r>
            <w:r>
              <w:rPr>
                <w:rFonts w:ascii="Times New Roman" w:hAnsi="Times New Roman"/>
                <w:sz w:val="26"/>
              </w:rPr>
              <w:t>147/2013-р</w:t>
            </w:r>
            <w:r w:rsidR="00741FE5" w:rsidRPr="005D4CCD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741FE5" w:rsidRPr="005D4CCD" w:rsidRDefault="00741FE5" w:rsidP="00741FE5">
      <w:pPr>
        <w:rPr>
          <w:rFonts w:ascii="Times New Roman" w:hAnsi="Times New Roman"/>
          <w:spacing w:val="-6"/>
        </w:rPr>
      </w:pPr>
    </w:p>
    <w:p w:rsidR="00741FE5" w:rsidRPr="004E03F5" w:rsidRDefault="00741FE5" w:rsidP="00741FE5">
      <w:pPr>
        <w:spacing w:after="0" w:line="240" w:lineRule="auto"/>
        <w:rPr>
          <w:rFonts w:ascii="Times New Roman" w:hAnsi="Times New Roman"/>
          <w:sz w:val="19"/>
          <w:szCs w:val="27"/>
        </w:rPr>
      </w:pPr>
    </w:p>
    <w:p w:rsidR="00741FE5" w:rsidRDefault="00741FE5" w:rsidP="00741FE5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741FE5" w:rsidRPr="00404C59" w:rsidRDefault="00741FE5" w:rsidP="00741FE5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04C59">
        <w:rPr>
          <w:rFonts w:ascii="Times New Roman" w:hAnsi="Times New Roman"/>
          <w:b/>
          <w:sz w:val="28"/>
          <w:szCs w:val="28"/>
        </w:rPr>
        <w:t>ГРАНИЧНА ЧИСЕЛЬНІСТЬ</w:t>
      </w:r>
    </w:p>
    <w:p w:rsidR="00741FE5" w:rsidRDefault="00741FE5" w:rsidP="00741FE5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апарату та структурних підрозділів</w:t>
      </w:r>
    </w:p>
    <w:p w:rsidR="00741FE5" w:rsidRDefault="00741FE5" w:rsidP="00741FE5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адміністрацій</w:t>
      </w:r>
    </w:p>
    <w:p w:rsidR="00741FE5" w:rsidRPr="00404C59" w:rsidRDefault="00741FE5" w:rsidP="00741FE5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16"/>
          <w:szCs w:val="28"/>
        </w:rPr>
      </w:pPr>
    </w:p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615"/>
        <w:gridCol w:w="7440"/>
        <w:gridCol w:w="1435"/>
      </w:tblGrid>
      <w:tr w:rsidR="00741FE5" w:rsidRPr="005464F5" w:rsidTr="00741FE5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E5" w:rsidRPr="00404C59" w:rsidRDefault="00741FE5" w:rsidP="00741F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741FE5" w:rsidRPr="00404C59" w:rsidRDefault="00741FE5" w:rsidP="00741F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E5" w:rsidRPr="00404C59" w:rsidRDefault="00741FE5" w:rsidP="00741F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структурних підрозділів обласної державної адміністрації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E5" w:rsidRPr="00404C59" w:rsidRDefault="00741FE5" w:rsidP="00741F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Гранична чисельність працівників, одиниць</w:t>
            </w:r>
          </w:p>
        </w:tc>
      </w:tr>
      <w:tr w:rsidR="00741FE5" w:rsidRPr="005464F5" w:rsidTr="00741FE5">
        <w:trPr>
          <w:trHeight w:val="2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</w:tr>
      <w:tr w:rsidR="00741FE5" w:rsidRPr="005464F5" w:rsidTr="00741FE5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агропромислового розвитку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741FE5" w:rsidRPr="005464F5" w:rsidTr="00741FE5">
        <w:trPr>
          <w:trHeight w:val="2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економічного розвитку і торгівлі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741FE5" w:rsidRPr="005464F5" w:rsidTr="00741FE5">
        <w:trPr>
          <w:trHeight w:val="1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соціального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741FE5" w:rsidRPr="005464F5" w:rsidTr="00741FE5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освіти і науки, молоді та спорту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741FE5" w:rsidRPr="005464F5" w:rsidTr="00741FE5">
        <w:trPr>
          <w:trHeight w:val="52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житлово-комунального господарства та будівництва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741FE5" w:rsidRPr="005464F5" w:rsidTr="00741FE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741FE5" w:rsidRPr="005464F5" w:rsidTr="00741FE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екології та природних ресурсів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741FE5" w:rsidRPr="005464F5" w:rsidTr="00741FE5">
        <w:trPr>
          <w:trHeight w:val="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інформаційної діяльності та комунікацій з громадськістю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741FE5" w:rsidRPr="005464F5" w:rsidTr="00741FE5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культури, національностей та релігій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741FE5" w:rsidRPr="005464F5" w:rsidTr="00741FE5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інфраструктури та туризму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41FE5" w:rsidRPr="005464F5" w:rsidTr="00741FE5">
        <w:trPr>
          <w:trHeight w:val="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з питань цивільного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741FE5" w:rsidRPr="005464F5" w:rsidTr="00741FE5">
        <w:trPr>
          <w:trHeight w:val="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4727E4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Служба у справах дітей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41FE5" w:rsidRPr="005464F5" w:rsidTr="00741FE5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741FE5" w:rsidRPr="005464F5" w:rsidTr="00741FE5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E5" w:rsidRPr="005464F5" w:rsidRDefault="00741FE5" w:rsidP="00741FE5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FE5" w:rsidRPr="005464F5" w:rsidRDefault="00741FE5" w:rsidP="00741FE5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741FE5" w:rsidRDefault="00741FE5" w:rsidP="00741FE5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741FE5" w:rsidRPr="00741FE5" w:rsidRDefault="00741FE5" w:rsidP="00741FE5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3"/>
          <w:szCs w:val="27"/>
        </w:rPr>
      </w:pPr>
    </w:p>
    <w:p w:rsidR="00741FE5" w:rsidRPr="00613BF6" w:rsidRDefault="00741FE5" w:rsidP="00741FE5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Заступник голови – керівник</w:t>
      </w:r>
    </w:p>
    <w:p w:rsidR="00741FE5" w:rsidRPr="00FC3F3C" w:rsidRDefault="00741FE5" w:rsidP="00741FE5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апарату адміністрації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Л.Бернадська</w:t>
      </w:r>
    </w:p>
    <w:p w:rsidR="00E73DE3" w:rsidRDefault="00E73DE3" w:rsidP="00741FE5">
      <w:pPr>
        <w:pStyle w:val="a3"/>
        <w:tabs>
          <w:tab w:val="left" w:pos="0"/>
          <w:tab w:val="left" w:pos="851"/>
        </w:tabs>
        <w:jc w:val="center"/>
      </w:pPr>
    </w:p>
    <w:sectPr w:rsidR="00E73DE3" w:rsidSect="00741FE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6A"/>
    <w:rsid w:val="000F0A6A"/>
    <w:rsid w:val="003E5737"/>
    <w:rsid w:val="004812C5"/>
    <w:rsid w:val="00741FE5"/>
    <w:rsid w:val="00751770"/>
    <w:rsid w:val="00A177FA"/>
    <w:rsid w:val="00A607A6"/>
    <w:rsid w:val="00C5414A"/>
    <w:rsid w:val="00D94D14"/>
    <w:rsid w:val="00E433C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F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1F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741FE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41FE5"/>
    <w:rPr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741FE5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741FE5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741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F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1F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741FE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41FE5"/>
    <w:rPr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741FE5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741FE5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741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2013-05-16T14:31:00Z</cp:lastPrinted>
  <dcterms:created xsi:type="dcterms:W3CDTF">2013-05-22T14:56:00Z</dcterms:created>
  <dcterms:modified xsi:type="dcterms:W3CDTF">2013-05-22T14:56:00Z</dcterms:modified>
</cp:coreProperties>
</file>