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815" w:rsidRDefault="00795F2A" w:rsidP="00A85A97">
      <w:pPr>
        <w:suppressAutoHyphens/>
        <w:jc w:val="center"/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6048375" cy="21526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52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0815" w:rsidRDefault="009F0815" w:rsidP="009F0815">
      <w:pPr>
        <w:rPr>
          <w:sz w:val="20"/>
          <w:szCs w:val="20"/>
          <w:lang w:val="uk-UA"/>
        </w:rPr>
      </w:pPr>
    </w:p>
    <w:p w:rsidR="00A85A97" w:rsidRDefault="00A85A97" w:rsidP="009F0815">
      <w:pPr>
        <w:rPr>
          <w:sz w:val="20"/>
          <w:szCs w:val="20"/>
          <w:lang w:val="uk-UA"/>
        </w:rPr>
      </w:pPr>
    </w:p>
    <w:p w:rsidR="009F0815" w:rsidRPr="007721A7" w:rsidRDefault="009F0815" w:rsidP="009F0815">
      <w:pPr>
        <w:rPr>
          <w:sz w:val="20"/>
          <w:szCs w:val="20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9F0815" w:rsidRPr="00795F2A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F0815" w:rsidRPr="00574A08" w:rsidRDefault="009F0815" w:rsidP="006B635D">
            <w:pPr>
              <w:spacing w:after="80"/>
              <w:jc w:val="both"/>
              <w:rPr>
                <w:sz w:val="28"/>
                <w:szCs w:val="28"/>
                <w:lang w:val="uk-UA" w:eastAsia="uk-UA"/>
              </w:rPr>
            </w:pPr>
            <w:r w:rsidRPr="009F0815">
              <w:rPr>
                <w:sz w:val="28"/>
                <w:szCs w:val="28"/>
                <w:lang w:val="uk-UA"/>
              </w:rPr>
              <w:t>Про надання дозволу на роз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9F0815">
              <w:rPr>
                <w:sz w:val="28"/>
                <w:szCs w:val="28"/>
                <w:lang w:val="uk-UA"/>
              </w:rPr>
              <w:t>р</w:t>
            </w:r>
            <w:r w:rsidRPr="009F0815">
              <w:rPr>
                <w:spacing w:val="-10"/>
                <w:sz w:val="28"/>
                <w:szCs w:val="28"/>
                <w:lang w:val="uk-UA"/>
              </w:rPr>
              <w:t>облення проекту землеустрою</w:t>
            </w:r>
            <w:r w:rsidRPr="009F0815">
              <w:rPr>
                <w:sz w:val="28"/>
                <w:szCs w:val="28"/>
                <w:lang w:val="uk-UA"/>
              </w:rPr>
              <w:t xml:space="preserve"> </w:t>
            </w:r>
            <w:r w:rsidRPr="009F0815">
              <w:rPr>
                <w:spacing w:val="-6"/>
                <w:sz w:val="28"/>
                <w:szCs w:val="28"/>
                <w:lang w:val="uk-UA"/>
              </w:rPr>
              <w:t>щодо відведення земельної ді</w:t>
            </w:r>
            <w:r w:rsidRPr="009F0815">
              <w:rPr>
                <w:spacing w:val="-6"/>
                <w:sz w:val="28"/>
                <w:szCs w:val="28"/>
                <w:lang w:val="uk-UA"/>
              </w:rPr>
              <w:softHyphen/>
            </w:r>
            <w:r w:rsidRPr="009F0815">
              <w:rPr>
                <w:spacing w:val="-16"/>
                <w:sz w:val="28"/>
                <w:szCs w:val="28"/>
                <w:lang w:val="uk-UA"/>
              </w:rPr>
              <w:t>л</w:t>
            </w:r>
            <w:r w:rsidRPr="009F0815">
              <w:rPr>
                <w:spacing w:val="-10"/>
                <w:sz w:val="28"/>
                <w:szCs w:val="28"/>
                <w:lang w:val="uk-UA"/>
              </w:rPr>
              <w:t>янки дочірньому підприємству</w:t>
            </w:r>
            <w:r w:rsidRPr="009F0815">
              <w:rPr>
                <w:sz w:val="28"/>
                <w:szCs w:val="28"/>
                <w:lang w:val="uk-UA"/>
              </w:rPr>
              <w:t xml:space="preserve"> </w:t>
            </w:r>
            <w:r w:rsidRPr="009F0815">
              <w:rPr>
                <w:spacing w:val="-8"/>
                <w:sz w:val="28"/>
                <w:szCs w:val="28"/>
                <w:lang w:val="uk-UA"/>
              </w:rPr>
              <w:t>“УКРАВТОГАЗ” Національної</w:t>
            </w:r>
            <w:r w:rsidRPr="009F0815">
              <w:rPr>
                <w:sz w:val="28"/>
                <w:szCs w:val="28"/>
                <w:lang w:val="uk-UA"/>
              </w:rPr>
              <w:t xml:space="preserve"> </w:t>
            </w:r>
            <w:r w:rsidRPr="009F0815">
              <w:rPr>
                <w:spacing w:val="-10"/>
                <w:sz w:val="28"/>
                <w:szCs w:val="28"/>
                <w:lang w:val="uk-UA"/>
              </w:rPr>
              <w:t>акціонерної компанії “Нафтогаз</w:t>
            </w:r>
            <w:r w:rsidRPr="009F0815">
              <w:rPr>
                <w:sz w:val="28"/>
                <w:szCs w:val="28"/>
                <w:lang w:val="uk-UA"/>
              </w:rPr>
              <w:t xml:space="preserve"> України”</w:t>
            </w:r>
          </w:p>
        </w:tc>
        <w:bookmarkStart w:id="0" w:name="_GoBack"/>
        <w:bookmarkEnd w:id="0"/>
      </w:tr>
    </w:tbl>
    <w:p w:rsidR="009F0815" w:rsidRPr="004334AC" w:rsidRDefault="009F0815" w:rsidP="009F0815">
      <w:pPr>
        <w:jc w:val="both"/>
        <w:rPr>
          <w:sz w:val="28"/>
          <w:szCs w:val="28"/>
          <w:lang w:val="uk-UA"/>
        </w:rPr>
      </w:pPr>
    </w:p>
    <w:p w:rsidR="009F0815" w:rsidRPr="004334AC" w:rsidRDefault="009F0815" w:rsidP="009F0815">
      <w:pPr>
        <w:jc w:val="both"/>
        <w:rPr>
          <w:sz w:val="28"/>
          <w:szCs w:val="28"/>
          <w:lang w:val="uk-UA"/>
        </w:rPr>
      </w:pPr>
    </w:p>
    <w:p w:rsidR="006B635D" w:rsidRPr="009F0815" w:rsidRDefault="006B635D" w:rsidP="006B63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0815">
        <w:rPr>
          <w:sz w:val="28"/>
          <w:szCs w:val="28"/>
          <w:lang w:val="uk-UA"/>
        </w:rPr>
        <w:t xml:space="preserve">На підставі статей 6, 21, 39 Закону України </w:t>
      </w:r>
      <w:r>
        <w:rPr>
          <w:sz w:val="28"/>
          <w:szCs w:val="28"/>
          <w:lang w:val="uk-UA"/>
        </w:rPr>
        <w:t>“</w:t>
      </w:r>
      <w:r w:rsidRPr="009F0815">
        <w:rPr>
          <w:sz w:val="28"/>
          <w:szCs w:val="28"/>
          <w:lang w:val="uk-UA"/>
        </w:rPr>
        <w:t>Про місцеві державні адміністрації</w:t>
      </w:r>
      <w:r>
        <w:rPr>
          <w:sz w:val="28"/>
          <w:szCs w:val="28"/>
          <w:lang w:val="uk-UA"/>
        </w:rPr>
        <w:t xml:space="preserve">”, статей </w:t>
      </w:r>
      <w:r w:rsidRPr="009F0815">
        <w:rPr>
          <w:sz w:val="28"/>
          <w:szCs w:val="28"/>
          <w:lang w:val="uk-UA"/>
        </w:rPr>
        <w:t xml:space="preserve">17, 92, 122, 123 Земельного кодексу України, статті 50 Закону України </w:t>
      </w:r>
      <w:r>
        <w:rPr>
          <w:sz w:val="28"/>
          <w:szCs w:val="28"/>
          <w:lang w:val="uk-UA"/>
        </w:rPr>
        <w:t>“</w:t>
      </w:r>
      <w:r w:rsidRPr="009F0815">
        <w:rPr>
          <w:sz w:val="28"/>
          <w:szCs w:val="28"/>
          <w:lang w:val="uk-UA"/>
        </w:rPr>
        <w:t>Про землеустрій</w:t>
      </w:r>
      <w:r>
        <w:rPr>
          <w:sz w:val="28"/>
          <w:szCs w:val="28"/>
          <w:lang w:val="uk-UA"/>
        </w:rPr>
        <w:t>”</w:t>
      </w:r>
      <w:r w:rsidRPr="009F0815">
        <w:rPr>
          <w:sz w:val="28"/>
          <w:szCs w:val="28"/>
          <w:lang w:val="uk-UA"/>
        </w:rPr>
        <w:t xml:space="preserve">, розглянувши клопотання дочірнього підприємства </w:t>
      </w:r>
      <w:r>
        <w:rPr>
          <w:sz w:val="28"/>
          <w:szCs w:val="28"/>
          <w:lang w:val="uk-UA"/>
        </w:rPr>
        <w:t>“УКРАВТОГАЗ”</w:t>
      </w:r>
      <w:r w:rsidRPr="009F0815">
        <w:rPr>
          <w:sz w:val="28"/>
          <w:szCs w:val="28"/>
          <w:lang w:val="uk-UA"/>
        </w:rPr>
        <w:t xml:space="preserve"> Національної акціонерної компанії </w:t>
      </w:r>
      <w:r>
        <w:rPr>
          <w:sz w:val="28"/>
          <w:szCs w:val="28"/>
          <w:lang w:val="uk-UA"/>
        </w:rPr>
        <w:t>“</w:t>
      </w:r>
      <w:r w:rsidRPr="009F0815">
        <w:rPr>
          <w:sz w:val="28"/>
          <w:szCs w:val="28"/>
          <w:lang w:val="uk-UA"/>
        </w:rPr>
        <w:t>Нафтогаз України</w:t>
      </w:r>
      <w:r>
        <w:rPr>
          <w:sz w:val="28"/>
          <w:szCs w:val="28"/>
          <w:lang w:val="uk-UA"/>
        </w:rPr>
        <w:t>”</w:t>
      </w:r>
      <w:r w:rsidRPr="009F0815">
        <w:rPr>
          <w:sz w:val="28"/>
          <w:szCs w:val="28"/>
          <w:lang w:val="uk-UA"/>
        </w:rPr>
        <w:t xml:space="preserve"> від 08 квітня 2013 року </w:t>
      </w:r>
      <w:r>
        <w:rPr>
          <w:sz w:val="28"/>
          <w:szCs w:val="28"/>
          <w:lang w:val="uk-UA"/>
        </w:rPr>
        <w:t>№ </w:t>
      </w:r>
      <w:r w:rsidRPr="009F0815">
        <w:rPr>
          <w:sz w:val="28"/>
          <w:szCs w:val="28"/>
          <w:lang w:val="uk-UA"/>
        </w:rPr>
        <w:t>1022-05/19.4 та подані матеріали:</w:t>
      </w:r>
    </w:p>
    <w:p w:rsidR="006B635D" w:rsidRPr="009F0815" w:rsidRDefault="006B635D" w:rsidP="006B635D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9F0815">
        <w:rPr>
          <w:spacing w:val="-6"/>
          <w:sz w:val="28"/>
          <w:szCs w:val="28"/>
          <w:lang w:val="uk-UA"/>
        </w:rPr>
        <w:t>1. Надати дозвіл дочірньому підприємству “УКРАВТОГАЗ” Національної</w:t>
      </w:r>
      <w:r w:rsidRPr="009F0815">
        <w:rPr>
          <w:sz w:val="28"/>
          <w:szCs w:val="28"/>
          <w:lang w:val="uk-UA"/>
        </w:rPr>
        <w:t xml:space="preserve"> </w:t>
      </w:r>
      <w:r w:rsidRPr="009F0815">
        <w:rPr>
          <w:spacing w:val="-6"/>
          <w:sz w:val="28"/>
          <w:szCs w:val="28"/>
          <w:lang w:val="uk-UA"/>
        </w:rPr>
        <w:t>акціонерної компанії “Нафтогаз України” на розроблення проекту землеустрою</w:t>
      </w:r>
      <w:r w:rsidRPr="009F0815">
        <w:rPr>
          <w:sz w:val="28"/>
          <w:szCs w:val="28"/>
          <w:lang w:val="uk-UA"/>
        </w:rPr>
        <w:t xml:space="preserve"> щодо відведення земельної ділянки державної власності в постійне користу</w:t>
      </w:r>
      <w:r>
        <w:rPr>
          <w:sz w:val="28"/>
          <w:szCs w:val="28"/>
          <w:lang w:val="uk-UA"/>
        </w:rPr>
        <w:softHyphen/>
      </w:r>
      <w:r w:rsidRPr="009F0815">
        <w:rPr>
          <w:sz w:val="28"/>
          <w:szCs w:val="28"/>
          <w:lang w:val="uk-UA"/>
        </w:rPr>
        <w:t xml:space="preserve">вання за рахунок земель промисловості, транспорту, зв’язку, енергетики, оборони та іншого призначення, орієнтовною площею </w:t>
      </w:r>
      <w:smartTag w:uri="urn:schemas-microsoft-com:office:smarttags" w:element="metricconverter">
        <w:smartTagPr>
          <w:attr w:name="ProductID" w:val="1,2950 га"/>
        </w:smartTagPr>
        <w:r w:rsidRPr="009F0815">
          <w:rPr>
            <w:sz w:val="28"/>
            <w:szCs w:val="28"/>
            <w:lang w:val="uk-UA"/>
          </w:rPr>
          <w:t>1,295</w:t>
        </w:r>
        <w:r>
          <w:rPr>
            <w:sz w:val="28"/>
            <w:szCs w:val="28"/>
            <w:lang w:val="uk-UA"/>
          </w:rPr>
          <w:t>0</w:t>
        </w:r>
        <w:r w:rsidRPr="009F0815">
          <w:rPr>
            <w:sz w:val="28"/>
            <w:szCs w:val="28"/>
            <w:lang w:val="uk-UA"/>
          </w:rPr>
          <w:t xml:space="preserve"> га</w:t>
        </w:r>
      </w:smartTag>
      <w:r w:rsidRPr="009F0815">
        <w:rPr>
          <w:sz w:val="28"/>
          <w:szCs w:val="28"/>
          <w:lang w:val="uk-UA"/>
        </w:rPr>
        <w:t>, що знахо</w:t>
      </w:r>
      <w:r>
        <w:rPr>
          <w:sz w:val="28"/>
          <w:szCs w:val="28"/>
          <w:lang w:val="uk-UA"/>
        </w:rPr>
        <w:softHyphen/>
      </w:r>
      <w:r w:rsidRPr="009F0815">
        <w:rPr>
          <w:sz w:val="28"/>
          <w:szCs w:val="28"/>
          <w:lang w:val="uk-UA"/>
        </w:rPr>
        <w:t xml:space="preserve">диться за межами населених пунктів </w:t>
      </w:r>
      <w:proofErr w:type="spellStart"/>
      <w:r w:rsidRPr="009F0815">
        <w:rPr>
          <w:sz w:val="28"/>
          <w:szCs w:val="28"/>
          <w:lang w:val="uk-UA"/>
        </w:rPr>
        <w:t>Шепетівського</w:t>
      </w:r>
      <w:proofErr w:type="spellEnd"/>
      <w:r w:rsidRPr="009F0815">
        <w:rPr>
          <w:sz w:val="28"/>
          <w:szCs w:val="28"/>
          <w:lang w:val="uk-UA"/>
        </w:rPr>
        <w:t xml:space="preserve"> району, автодорога </w:t>
      </w:r>
      <w:proofErr w:type="spellStart"/>
      <w:r w:rsidRPr="009F0815">
        <w:rPr>
          <w:sz w:val="28"/>
          <w:szCs w:val="28"/>
          <w:lang w:val="uk-UA"/>
        </w:rPr>
        <w:t>Васьковичі-Шепетівка</w:t>
      </w:r>
      <w:proofErr w:type="spellEnd"/>
      <w:r w:rsidRPr="009F0815">
        <w:rPr>
          <w:sz w:val="28"/>
          <w:szCs w:val="28"/>
          <w:lang w:val="uk-UA"/>
        </w:rPr>
        <w:t>-161 км+430</w:t>
      </w:r>
      <w:r w:rsidR="00EC074E">
        <w:rPr>
          <w:sz w:val="28"/>
          <w:szCs w:val="28"/>
          <w:lang w:val="uk-UA"/>
        </w:rPr>
        <w:t>,</w:t>
      </w:r>
      <w:r w:rsidRPr="009F0815">
        <w:rPr>
          <w:sz w:val="28"/>
          <w:szCs w:val="28"/>
          <w:lang w:val="uk-UA"/>
        </w:rPr>
        <w:t xml:space="preserve"> для розміщення та експлуатації об’єкту трубопровідн</w:t>
      </w:r>
      <w:r w:rsidR="00EC074E">
        <w:rPr>
          <w:sz w:val="28"/>
          <w:szCs w:val="28"/>
          <w:lang w:val="uk-UA"/>
        </w:rPr>
        <w:t>ого транспорту (АГНКС).</w:t>
      </w:r>
    </w:p>
    <w:p w:rsidR="006B635D" w:rsidRPr="009F0815" w:rsidRDefault="006B635D" w:rsidP="006B635D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9F0815">
        <w:rPr>
          <w:sz w:val="28"/>
          <w:szCs w:val="28"/>
          <w:lang w:val="uk-UA"/>
        </w:rPr>
        <w:t xml:space="preserve">Дочірньому підприємству </w:t>
      </w:r>
      <w:r>
        <w:rPr>
          <w:sz w:val="28"/>
          <w:szCs w:val="28"/>
          <w:lang w:val="uk-UA"/>
        </w:rPr>
        <w:t>“</w:t>
      </w:r>
      <w:r w:rsidRPr="009F0815">
        <w:rPr>
          <w:sz w:val="28"/>
          <w:szCs w:val="28"/>
          <w:lang w:val="uk-UA"/>
        </w:rPr>
        <w:t>УКРАВТОГАЗ</w:t>
      </w:r>
      <w:r>
        <w:rPr>
          <w:sz w:val="28"/>
          <w:szCs w:val="28"/>
          <w:lang w:val="uk-UA"/>
        </w:rPr>
        <w:t>”</w:t>
      </w:r>
      <w:r w:rsidRPr="009F0815">
        <w:rPr>
          <w:sz w:val="28"/>
          <w:szCs w:val="28"/>
          <w:lang w:val="uk-UA"/>
        </w:rPr>
        <w:t xml:space="preserve"> Національної акціонерної компанії </w:t>
      </w:r>
      <w:r>
        <w:rPr>
          <w:sz w:val="28"/>
          <w:szCs w:val="28"/>
          <w:lang w:val="uk-UA"/>
        </w:rPr>
        <w:t>“</w:t>
      </w:r>
      <w:r w:rsidRPr="009F0815">
        <w:rPr>
          <w:sz w:val="28"/>
          <w:szCs w:val="28"/>
          <w:lang w:val="uk-UA"/>
        </w:rPr>
        <w:t>Нафтогаз України</w:t>
      </w:r>
      <w:r>
        <w:rPr>
          <w:sz w:val="28"/>
          <w:szCs w:val="28"/>
          <w:lang w:val="uk-UA"/>
        </w:rPr>
        <w:t>”</w:t>
      </w:r>
      <w:r w:rsidRPr="009F0815">
        <w:rPr>
          <w:sz w:val="28"/>
          <w:szCs w:val="28"/>
          <w:lang w:val="uk-UA"/>
        </w:rPr>
        <w:t xml:space="preserve"> при розробленні проекту землеустрою щодо відведення земельної ділянки забезпечити дотримання вимог чинного законо</w:t>
      </w:r>
      <w:r>
        <w:rPr>
          <w:sz w:val="28"/>
          <w:szCs w:val="28"/>
          <w:lang w:val="uk-UA"/>
        </w:rPr>
        <w:softHyphen/>
      </w:r>
      <w:r w:rsidRPr="009F0815">
        <w:rPr>
          <w:sz w:val="28"/>
          <w:szCs w:val="28"/>
          <w:lang w:val="uk-UA"/>
        </w:rPr>
        <w:t>давства</w:t>
      </w:r>
      <w:r w:rsidRPr="009F0815">
        <w:rPr>
          <w:rStyle w:val="FontStyle11"/>
          <w:sz w:val="28"/>
          <w:szCs w:val="28"/>
          <w:lang w:val="uk-UA" w:eastAsia="uk-UA"/>
        </w:rPr>
        <w:t>.</w:t>
      </w:r>
    </w:p>
    <w:p w:rsidR="009F0815" w:rsidRDefault="006B635D" w:rsidP="006B635D">
      <w:pPr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3. </w:t>
      </w:r>
      <w:r w:rsidRPr="009F0815">
        <w:rPr>
          <w:sz w:val="28"/>
          <w:szCs w:val="28"/>
          <w:lang w:val="uk-UA"/>
        </w:rPr>
        <w:t xml:space="preserve">Контроль за виконанням </w:t>
      </w:r>
      <w:r>
        <w:rPr>
          <w:sz w:val="28"/>
          <w:szCs w:val="28"/>
          <w:lang w:val="uk-UA"/>
        </w:rPr>
        <w:t>цього</w:t>
      </w:r>
      <w:r w:rsidRPr="009F0815">
        <w:rPr>
          <w:sz w:val="28"/>
          <w:szCs w:val="28"/>
          <w:lang w:val="uk-UA"/>
        </w:rPr>
        <w:t xml:space="preserve"> розпорядження покласти на заступника голови облдержадміністрації В.</w:t>
      </w:r>
      <w:proofErr w:type="spellStart"/>
      <w:r w:rsidRPr="009F0815">
        <w:rPr>
          <w:sz w:val="28"/>
          <w:szCs w:val="28"/>
          <w:lang w:val="uk-UA"/>
        </w:rPr>
        <w:t>Галищука</w:t>
      </w:r>
      <w:proofErr w:type="spellEnd"/>
      <w:r w:rsidRPr="009F0815">
        <w:rPr>
          <w:sz w:val="28"/>
          <w:szCs w:val="28"/>
          <w:lang w:val="uk-UA"/>
        </w:rPr>
        <w:t>.</w:t>
      </w:r>
    </w:p>
    <w:p w:rsidR="009F0815" w:rsidRPr="006B635D" w:rsidRDefault="009F0815" w:rsidP="009F0815">
      <w:pPr>
        <w:ind w:firstLine="709"/>
        <w:jc w:val="both"/>
        <w:rPr>
          <w:lang w:val="uk-UA"/>
        </w:rPr>
      </w:pPr>
    </w:p>
    <w:p w:rsidR="009F0815" w:rsidRPr="006B635D" w:rsidRDefault="009F0815" w:rsidP="009F0815">
      <w:pPr>
        <w:ind w:firstLine="709"/>
        <w:jc w:val="both"/>
        <w:rPr>
          <w:lang w:val="uk-UA"/>
        </w:rPr>
      </w:pPr>
    </w:p>
    <w:p w:rsidR="009F0815" w:rsidRPr="006B635D" w:rsidRDefault="009F0815" w:rsidP="006B635D">
      <w:pPr>
        <w:suppressAutoHyphens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Голова 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Pr="00A72F95">
        <w:rPr>
          <w:sz w:val="28"/>
          <w:szCs w:val="28"/>
          <w:lang w:val="uk-UA"/>
        </w:rPr>
        <w:t>В.Ядух</w:t>
      </w:r>
      <w:r>
        <w:rPr>
          <w:sz w:val="28"/>
          <w:szCs w:val="28"/>
          <w:lang w:val="uk-UA"/>
        </w:rPr>
        <w:t>а</w:t>
      </w:r>
    </w:p>
    <w:sectPr w:rsidR="009F0815" w:rsidRPr="006B635D" w:rsidSect="00A85A97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EC2" w:rsidRDefault="003B0EC2">
      <w:r>
        <w:separator/>
      </w:r>
    </w:p>
  </w:endnote>
  <w:endnote w:type="continuationSeparator" w:id="0">
    <w:p w:rsidR="003B0EC2" w:rsidRDefault="003B0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EC2" w:rsidRDefault="003B0EC2">
      <w:r>
        <w:separator/>
      </w:r>
    </w:p>
  </w:footnote>
  <w:footnote w:type="continuationSeparator" w:id="0">
    <w:p w:rsidR="003B0EC2" w:rsidRDefault="003B0E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E03E0D"/>
    <w:multiLevelType w:val="hybridMultilevel"/>
    <w:tmpl w:val="18BE7658"/>
    <w:lvl w:ilvl="0" w:tplc="9B104E08">
      <w:start w:val="1"/>
      <w:numFmt w:val="decimal"/>
      <w:lvlText w:val="%1."/>
      <w:lvlJc w:val="left"/>
      <w:pPr>
        <w:ind w:left="972" w:hanging="405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815"/>
    <w:rsid w:val="00155794"/>
    <w:rsid w:val="001D5174"/>
    <w:rsid w:val="002773BB"/>
    <w:rsid w:val="00391341"/>
    <w:rsid w:val="003B0EC2"/>
    <w:rsid w:val="00561BD3"/>
    <w:rsid w:val="006B635D"/>
    <w:rsid w:val="00795F2A"/>
    <w:rsid w:val="00933797"/>
    <w:rsid w:val="009F0815"/>
    <w:rsid w:val="00A85A97"/>
    <w:rsid w:val="00CB7E5C"/>
    <w:rsid w:val="00E66652"/>
    <w:rsid w:val="00EC074E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815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9F081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081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F0815"/>
  </w:style>
  <w:style w:type="character" w:customStyle="1" w:styleId="FontStyle11">
    <w:name w:val="Font Style11"/>
    <w:basedOn w:val="a0"/>
    <w:rsid w:val="009F0815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9F0815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semiHidden/>
    <w:rsid w:val="00EC07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0815"/>
    <w:rPr>
      <w:rFonts w:eastAsia="Calibri"/>
      <w:sz w:val="24"/>
      <w:szCs w:val="24"/>
      <w:lang w:val="ru-RU" w:eastAsia="ru-RU"/>
    </w:rPr>
  </w:style>
  <w:style w:type="paragraph" w:styleId="5">
    <w:name w:val="heading 5"/>
    <w:basedOn w:val="a"/>
    <w:next w:val="a"/>
    <w:link w:val="50"/>
    <w:qFormat/>
    <w:rsid w:val="009F0815"/>
    <w:pPr>
      <w:keepNext/>
      <w:keepLines/>
      <w:spacing w:before="200"/>
      <w:outlineLvl w:val="4"/>
    </w:pPr>
    <w:rPr>
      <w:rFonts w:ascii="Cambria" w:eastAsia="Times New Roman" w:hAnsi="Cambria"/>
      <w:color w:val="243F6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F0815"/>
    <w:pPr>
      <w:tabs>
        <w:tab w:val="center" w:pos="4677"/>
        <w:tab w:val="right" w:pos="9355"/>
      </w:tabs>
    </w:pPr>
    <w:rPr>
      <w:rFonts w:eastAsia="Times New Roman"/>
    </w:rPr>
  </w:style>
  <w:style w:type="character" w:styleId="a4">
    <w:name w:val="page number"/>
    <w:basedOn w:val="a0"/>
    <w:rsid w:val="009F0815"/>
  </w:style>
  <w:style w:type="character" w:customStyle="1" w:styleId="FontStyle11">
    <w:name w:val="Font Style11"/>
    <w:basedOn w:val="a0"/>
    <w:rsid w:val="009F0815"/>
    <w:rPr>
      <w:rFonts w:ascii="Times New Roman" w:hAnsi="Times New Roman" w:cs="Times New Roman"/>
      <w:sz w:val="18"/>
      <w:szCs w:val="18"/>
    </w:rPr>
  </w:style>
  <w:style w:type="character" w:customStyle="1" w:styleId="50">
    <w:name w:val="Заголовок 5 Знак"/>
    <w:link w:val="5"/>
    <w:rsid w:val="009F0815"/>
    <w:rPr>
      <w:rFonts w:ascii="Cambria" w:hAnsi="Cambria"/>
      <w:color w:val="243F60"/>
      <w:sz w:val="24"/>
      <w:szCs w:val="24"/>
      <w:lang w:val="x-none" w:eastAsia="ru-RU" w:bidi="ar-SA"/>
    </w:rPr>
  </w:style>
  <w:style w:type="paragraph" w:styleId="a5">
    <w:name w:val="Balloon Text"/>
    <w:basedOn w:val="a"/>
    <w:semiHidden/>
    <w:rsid w:val="00EC07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1277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2013-09-11T14:22:00Z</cp:lastPrinted>
  <dcterms:created xsi:type="dcterms:W3CDTF">2013-05-22T14:58:00Z</dcterms:created>
  <dcterms:modified xsi:type="dcterms:W3CDTF">2013-05-23T06:15:00Z</dcterms:modified>
</cp:coreProperties>
</file>