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94" w:type="dxa"/>
        <w:tblInd w:w="5328" w:type="dxa"/>
        <w:tblLook w:val="01E0" w:firstRow="1" w:lastRow="1" w:firstColumn="1" w:lastColumn="1" w:noHBand="0" w:noVBand="0"/>
      </w:tblPr>
      <w:tblGrid>
        <w:gridCol w:w="4294"/>
      </w:tblGrid>
      <w:tr w:rsidR="00D503B5" w:rsidRPr="002E01FA">
        <w:trPr>
          <w:trHeight w:val="1258"/>
        </w:trPr>
        <w:tc>
          <w:tcPr>
            <w:tcW w:w="4294" w:type="dxa"/>
          </w:tcPr>
          <w:p w:rsidR="00D503B5" w:rsidRPr="00C84489" w:rsidRDefault="00D503B5" w:rsidP="00D5354F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C84489">
              <w:rPr>
                <w:b w:val="0"/>
                <w:bCs w:val="0"/>
                <w:szCs w:val="28"/>
              </w:rPr>
              <w:t>Додаток</w:t>
            </w:r>
          </w:p>
          <w:p w:rsidR="00D503B5" w:rsidRPr="00C84489" w:rsidRDefault="00D503B5" w:rsidP="00D5354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C84489">
              <w:rPr>
                <w:spacing w:val="-4"/>
                <w:sz w:val="28"/>
                <w:szCs w:val="28"/>
              </w:rPr>
              <w:t>до розпорядження голови обласної</w:t>
            </w:r>
            <w:r w:rsidRPr="00C84489">
              <w:rPr>
                <w:sz w:val="28"/>
                <w:szCs w:val="28"/>
              </w:rPr>
              <w:t xml:space="preserve"> державної адміністрації </w:t>
            </w:r>
          </w:p>
          <w:p w:rsidR="00D503B5" w:rsidRPr="001B4F7C" w:rsidRDefault="001B4F7C" w:rsidP="00D5354F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29.05.</w:t>
            </w:r>
            <w:r w:rsidR="00D503B5" w:rsidRPr="00C84489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ru-RU"/>
              </w:rPr>
              <w:t>201/2014-р</w:t>
            </w:r>
          </w:p>
        </w:tc>
      </w:tr>
    </w:tbl>
    <w:p w:rsidR="00D503B5" w:rsidRPr="002E01FA" w:rsidRDefault="00D503B5" w:rsidP="00D503B5">
      <w:pPr>
        <w:jc w:val="center"/>
        <w:rPr>
          <w:b/>
          <w:sz w:val="28"/>
          <w:szCs w:val="28"/>
        </w:rPr>
      </w:pPr>
    </w:p>
    <w:p w:rsidR="00D503B5" w:rsidRPr="002E01FA" w:rsidRDefault="00D503B5" w:rsidP="00D503B5">
      <w:pPr>
        <w:jc w:val="center"/>
        <w:rPr>
          <w:b/>
          <w:sz w:val="28"/>
          <w:szCs w:val="28"/>
        </w:rPr>
      </w:pPr>
    </w:p>
    <w:p w:rsidR="00D503B5" w:rsidRPr="002E01FA" w:rsidRDefault="00D503B5" w:rsidP="00D503B5">
      <w:pPr>
        <w:jc w:val="center"/>
        <w:rPr>
          <w:b/>
          <w:sz w:val="28"/>
          <w:szCs w:val="28"/>
        </w:rPr>
      </w:pPr>
    </w:p>
    <w:p w:rsidR="00D503B5" w:rsidRPr="002E01FA" w:rsidRDefault="00D503B5" w:rsidP="00D503B5">
      <w:pPr>
        <w:jc w:val="center"/>
        <w:rPr>
          <w:b/>
          <w:caps/>
          <w:spacing w:val="-12"/>
          <w:sz w:val="28"/>
          <w:szCs w:val="28"/>
        </w:rPr>
      </w:pPr>
      <w:r w:rsidRPr="002E01FA">
        <w:rPr>
          <w:b/>
          <w:caps/>
          <w:sz w:val="28"/>
          <w:szCs w:val="28"/>
        </w:rPr>
        <w:t>Інформація</w:t>
      </w:r>
    </w:p>
    <w:p w:rsidR="00D503B5" w:rsidRDefault="00D503B5" w:rsidP="00E649E5">
      <w:pPr>
        <w:spacing w:after="120"/>
        <w:ind w:firstLine="709"/>
        <w:jc w:val="center"/>
        <w:rPr>
          <w:sz w:val="28"/>
        </w:rPr>
      </w:pPr>
      <w:r>
        <w:rPr>
          <w:sz w:val="28"/>
          <w:szCs w:val="28"/>
        </w:rPr>
        <w:t>п</w:t>
      </w:r>
      <w:r>
        <w:rPr>
          <w:sz w:val="28"/>
        </w:rPr>
        <w:t>ро державну експертизу проектної документації з енергозбереження, норм питомих витрат паливно-енергетичних ресурсів, іншої документації у порядку, встановленому законодавством</w:t>
      </w:r>
    </w:p>
    <w:p w:rsidR="00D503B5" w:rsidRDefault="00D503B5" w:rsidP="00D503B5">
      <w:pPr>
        <w:tabs>
          <w:tab w:val="left" w:pos="270"/>
        </w:tabs>
        <w:spacing w:after="120"/>
        <w:ind w:firstLine="709"/>
        <w:jc w:val="both"/>
        <w:rPr>
          <w:sz w:val="28"/>
        </w:rPr>
      </w:pPr>
      <w:r w:rsidRPr="00D503B5">
        <w:rPr>
          <w:spacing w:val="-6"/>
          <w:sz w:val="28"/>
          <w:szCs w:val="28"/>
        </w:rPr>
        <w:t>Відповідно до Закону України “Про енергозбереження” Кабінетом Міністрів</w:t>
      </w:r>
      <w:r>
        <w:rPr>
          <w:sz w:val="28"/>
        </w:rPr>
        <w:t xml:space="preserve"> України була прийнята постанова від 15 липня 1998 року № 1094 “Про державну експертизу з енергозбереження”, керуючись якою та “Положенням про Територіальне управління Держенергоефективності України у Хмельниць</w:t>
      </w:r>
      <w:r>
        <w:rPr>
          <w:sz w:val="28"/>
        </w:rPr>
        <w:softHyphen/>
        <w:t xml:space="preserve">кій області”, територіальним управлінням Держенергоефективності України у Хмельницькій області у 2013 році проведено експертизу дванадцяти інноваційних проектів, спрямованих на скорочення споживання паливно-енергетичних ресурсів, дев’ять з яких отримали позитивний експертний висновок на відповідність проектної документації нормативним актам з питань енергозбереження.       </w:t>
      </w:r>
    </w:p>
    <w:p w:rsidR="00D503B5" w:rsidRDefault="00D503B5" w:rsidP="00D503B5">
      <w:pPr>
        <w:spacing w:after="120"/>
        <w:ind w:firstLine="709"/>
        <w:jc w:val="both"/>
        <w:rPr>
          <w:bCs/>
          <w:sz w:val="28"/>
        </w:rPr>
      </w:pPr>
      <w:r>
        <w:rPr>
          <w:sz w:val="28"/>
        </w:rPr>
        <w:t xml:space="preserve">Так, </w:t>
      </w:r>
      <w:r>
        <w:rPr>
          <w:bCs/>
          <w:sz w:val="28"/>
        </w:rPr>
        <w:t>в Ізяславському районі проведено експертизу трьох проектів: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“Реконструкція системи опалення піролізних котлів у ЗОШ </w:t>
      </w:r>
      <w:r>
        <w:rPr>
          <w:sz w:val="28"/>
          <w:lang w:val="en-US"/>
        </w:rPr>
        <w:t>I</w:t>
      </w:r>
      <w:r>
        <w:rPr>
          <w:sz w:val="28"/>
        </w:rPr>
        <w:t>-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ступенів у с. Сахнівці”. 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Економічний ефект від впровадження – 109,059 тис.грн/рік, </w:t>
      </w:r>
      <w:r w:rsidRPr="004F5430">
        <w:rPr>
          <w:spacing w:val="-6"/>
          <w:sz w:val="28"/>
          <w:szCs w:val="28"/>
        </w:rPr>
        <w:t>термін окупності становить 3 роки, кошторисна вартість проекту –</w:t>
      </w:r>
      <w:r>
        <w:rPr>
          <w:spacing w:val="-6"/>
          <w:sz w:val="28"/>
          <w:szCs w:val="28"/>
        </w:rPr>
        <w:t xml:space="preserve"> 789,430</w:t>
      </w:r>
      <w:r w:rsidRPr="004F5430">
        <w:rPr>
          <w:spacing w:val="-6"/>
          <w:sz w:val="28"/>
          <w:szCs w:val="28"/>
        </w:rPr>
        <w:t xml:space="preserve"> тис.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</w:rPr>
        <w:t>гривень. Уже розпочато роботи по його впровадж</w:t>
      </w:r>
      <w:r w:rsidR="00147AD1">
        <w:rPr>
          <w:sz w:val="28"/>
        </w:rPr>
        <w:t>енню;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“Реконструкція системи опалення з використанням теплового насосу типу грунтвода Мислятинського ДНЗ (дитячого садка) “Калинка” Мисля</w:t>
      </w:r>
      <w:r w:rsidR="00E649E5">
        <w:rPr>
          <w:sz w:val="28"/>
        </w:rPr>
        <w:softHyphen/>
      </w:r>
      <w:r>
        <w:rPr>
          <w:sz w:val="28"/>
        </w:rPr>
        <w:t xml:space="preserve">тинської сільської ради”. 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Економічний ефект від впровадження – 9783,91 грн./рік, термін окуп</w:t>
      </w:r>
      <w:r>
        <w:rPr>
          <w:sz w:val="28"/>
        </w:rPr>
        <w:softHyphen/>
        <w:t xml:space="preserve">ності становить 8 років, кошторисна вартість проекту </w:t>
      </w:r>
      <w:r w:rsidR="00147AD1">
        <w:rPr>
          <w:sz w:val="28"/>
        </w:rPr>
        <w:t xml:space="preserve">– </w:t>
      </w:r>
      <w:r>
        <w:rPr>
          <w:sz w:val="28"/>
        </w:rPr>
        <w:t>125,909 тис.</w:t>
      </w:r>
      <w:r w:rsidR="00147AD1">
        <w:rPr>
          <w:sz w:val="28"/>
        </w:rPr>
        <w:t xml:space="preserve"> </w:t>
      </w:r>
      <w:r>
        <w:rPr>
          <w:sz w:val="28"/>
        </w:rPr>
        <w:t>гривень. Роботи</w:t>
      </w:r>
      <w:r w:rsidR="00147AD1">
        <w:rPr>
          <w:sz w:val="28"/>
        </w:rPr>
        <w:t xml:space="preserve"> по його впровадженню розпочато;</w:t>
      </w:r>
    </w:p>
    <w:p w:rsidR="00D503B5" w:rsidRDefault="00D503B5" w:rsidP="00D503B5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“Організація (реконструкція) освітлення вулиць із застосуванням світло</w:t>
      </w:r>
      <w:r>
        <w:rPr>
          <w:sz w:val="28"/>
        </w:rPr>
        <w:softHyphen/>
        <w:t xml:space="preserve">діодних світильників на основі фотоелектричних панелей в с. Нове Село.” </w:t>
      </w:r>
    </w:p>
    <w:p w:rsidR="00D503B5" w:rsidRDefault="00D503B5" w:rsidP="00D503B5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Економічний ефект від впровадження – 0,095 тонн умовного палива на рік, кошторисна вартість проекту </w:t>
      </w:r>
      <w:r w:rsidR="00147AD1">
        <w:rPr>
          <w:sz w:val="28"/>
        </w:rPr>
        <w:t xml:space="preserve">– </w:t>
      </w:r>
      <w:r>
        <w:rPr>
          <w:sz w:val="28"/>
        </w:rPr>
        <w:t>239,288 тис. гривень. Роботу з упровад</w:t>
      </w:r>
      <w:r w:rsidR="00147AD1">
        <w:rPr>
          <w:sz w:val="28"/>
        </w:rPr>
        <w:softHyphen/>
      </w:r>
      <w:r>
        <w:rPr>
          <w:sz w:val="28"/>
        </w:rPr>
        <w:t>ження цього проекту завершено.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По </w:t>
      </w:r>
      <w:r>
        <w:rPr>
          <w:bCs/>
          <w:sz w:val="28"/>
        </w:rPr>
        <w:t>Красилівському району проведено експертизу і практично завершено роботи щодо впровадження двох</w:t>
      </w:r>
      <w:r>
        <w:rPr>
          <w:sz w:val="28"/>
        </w:rPr>
        <w:t xml:space="preserve"> інноваційних енергоефективних проектів:</w:t>
      </w:r>
    </w:p>
    <w:p w:rsidR="00D503B5" w:rsidRDefault="00D503B5" w:rsidP="00D503B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“Будівництво модульної котелні</w:t>
      </w:r>
      <w:r w:rsidRPr="004F5430">
        <w:rPr>
          <w:sz w:val="28"/>
          <w:szCs w:val="28"/>
        </w:rPr>
        <w:t xml:space="preserve"> та інженерних мереж для опалення дитячого садочка “Сонечко” по вул. Центральній </w:t>
      </w:r>
      <w:r>
        <w:rPr>
          <w:sz w:val="28"/>
          <w:szCs w:val="28"/>
        </w:rPr>
        <w:t>у селі Росолівці”.</w:t>
      </w:r>
    </w:p>
    <w:p w:rsidR="00D503B5" w:rsidRPr="004F5430" w:rsidRDefault="00D503B5" w:rsidP="00D503B5">
      <w:pPr>
        <w:spacing w:after="120"/>
        <w:ind w:firstLine="709"/>
        <w:jc w:val="both"/>
        <w:rPr>
          <w:sz w:val="28"/>
          <w:szCs w:val="28"/>
        </w:rPr>
      </w:pPr>
      <w:r w:rsidRPr="004F5430">
        <w:rPr>
          <w:sz w:val="28"/>
          <w:szCs w:val="28"/>
        </w:rPr>
        <w:t>Економічний ефект від впровадження становить 28870 грн</w:t>
      </w:r>
      <w:r>
        <w:rPr>
          <w:sz w:val="28"/>
          <w:szCs w:val="28"/>
        </w:rPr>
        <w:t>.</w:t>
      </w:r>
      <w:r w:rsidRPr="004F5430">
        <w:rPr>
          <w:sz w:val="28"/>
          <w:szCs w:val="28"/>
        </w:rPr>
        <w:t>/рік, термін окупності – 6 років,</w:t>
      </w:r>
      <w:r>
        <w:rPr>
          <w:sz w:val="28"/>
          <w:szCs w:val="28"/>
        </w:rPr>
        <w:t xml:space="preserve"> </w:t>
      </w:r>
      <w:r>
        <w:rPr>
          <w:sz w:val="28"/>
        </w:rPr>
        <w:t>кошторисна вартість проекту – 179,768 тис. гривень. Роботи на стадії завершення.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“Капітальний ремонт котельні та системи опалення Михайловецької ЗОШ </w:t>
      </w:r>
      <w:r>
        <w:rPr>
          <w:sz w:val="28"/>
          <w:lang w:val="en-US"/>
        </w:rPr>
        <w:t>I</w:t>
      </w:r>
      <w:r>
        <w:rPr>
          <w:sz w:val="28"/>
        </w:rPr>
        <w:t>-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ступенів по вул. 1-го Травня, 1 у селі Михайлівці. Економічний ефект від впровадження становить 32706 грн./рік, термін окупності – 4 роки, кошторисна вартість проекту – 157,603 тис.гривень. Роботу з впровадження цього проекту завершено.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По Старокостянтинівському району проведено експертизу проекту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“Впровадження когенераційної установки для котельні по вул. Миру, 1/139 у м. Старокостянтинові”. 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Економічний ефект від впровадження становить 2236960 грн./рік, термін окупності – 2 роки, кошторисна вартість проекту – 5180,483 тис.гривень. Роботи не проводилися у зв’язку з відсутністю фінансування, розглядається питання щодо виділення коштів.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По Славутському району проведено е</w:t>
      </w:r>
      <w:r w:rsidR="00147AD1">
        <w:rPr>
          <w:sz w:val="28"/>
        </w:rPr>
        <w:t>кспертизу інноваційного проекту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 w:rsidRPr="00E649E5">
        <w:rPr>
          <w:spacing w:val="-6"/>
          <w:sz w:val="28"/>
          <w:szCs w:val="28"/>
        </w:rPr>
        <w:t>“Реконструкція системи опалення із встановленням комплексу “ТЕПЛОН”</w:t>
      </w:r>
      <w:r>
        <w:rPr>
          <w:sz w:val="28"/>
        </w:rPr>
        <w:t xml:space="preserve"> у Старокривинському будинку-інтернаті в селі Старий Кривин”. 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Економічний ефект від впровадження становить 92196,6 грн./рік, термін окупності – 4 роки, кош</w:t>
      </w:r>
      <w:r w:rsidR="00E649E5">
        <w:rPr>
          <w:sz w:val="28"/>
        </w:rPr>
        <w:t>торисна вартість проекту – 378,</w:t>
      </w:r>
      <w:r>
        <w:rPr>
          <w:sz w:val="28"/>
        </w:rPr>
        <w:t>050  тис. гривень.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Роботи по цьому проекту також не проводились через відсутність фінан</w:t>
      </w:r>
      <w:r w:rsidR="00E649E5">
        <w:rPr>
          <w:sz w:val="28"/>
        </w:rPr>
        <w:softHyphen/>
      </w:r>
      <w:r>
        <w:rPr>
          <w:sz w:val="28"/>
        </w:rPr>
        <w:t>сування.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По Віньковецькому району проведено експертизу двох</w:t>
      </w:r>
      <w:r w:rsidR="00E649E5">
        <w:rPr>
          <w:sz w:val="28"/>
        </w:rPr>
        <w:t xml:space="preserve"> інноваційних </w:t>
      </w:r>
      <w:r>
        <w:rPr>
          <w:sz w:val="28"/>
        </w:rPr>
        <w:t>проектів: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“Будівництво мереж вуличного освітлення із світлодіодних світильників на основі фотоелектричних панелей у селі Зіньків, Віньковецького району”.</w:t>
      </w:r>
    </w:p>
    <w:p w:rsidR="00D503B5" w:rsidRDefault="00D503B5" w:rsidP="00147AD1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Економічний ефект від впровадження становить 0,095 тон умовного палива на рік, кошторис</w:t>
      </w:r>
      <w:r w:rsidR="00E649E5">
        <w:rPr>
          <w:sz w:val="28"/>
        </w:rPr>
        <w:t>на вартість проекту – 241,</w:t>
      </w:r>
      <w:r>
        <w:rPr>
          <w:sz w:val="28"/>
        </w:rPr>
        <w:t>440 тис.гривень. Роботу з впровадження цього проекту</w:t>
      </w:r>
      <w:r w:rsidRPr="00134DB1">
        <w:rPr>
          <w:sz w:val="28"/>
        </w:rPr>
        <w:t xml:space="preserve"> </w:t>
      </w:r>
      <w:r w:rsidR="00147AD1">
        <w:rPr>
          <w:sz w:val="28"/>
        </w:rPr>
        <w:t>завершено;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“Реконструкція котельні із заміною газових котлів на твердопаливні котли піролізного горіння загальною потужністю 160 кВт Подолянської ЗОШ </w:t>
      </w:r>
      <w:r>
        <w:rPr>
          <w:sz w:val="28"/>
          <w:lang w:val="en-US"/>
        </w:rPr>
        <w:t>I</w:t>
      </w:r>
      <w:r>
        <w:rPr>
          <w:sz w:val="28"/>
        </w:rPr>
        <w:t>-</w:t>
      </w:r>
      <w:r>
        <w:rPr>
          <w:sz w:val="28"/>
          <w:lang w:val="en-US"/>
        </w:rPr>
        <w:t>II</w:t>
      </w:r>
      <w:r>
        <w:rPr>
          <w:sz w:val="28"/>
        </w:rPr>
        <w:t xml:space="preserve"> ступенів по вул. Козац</w:t>
      </w:r>
      <w:r w:rsidR="00147AD1">
        <w:rPr>
          <w:sz w:val="28"/>
        </w:rPr>
        <w:t>ька, 58 у селі Подолянське”.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Економічний ефект від впровадження становить 54,4 тис. грн./рік, термін окупності – 5 років 4 місяці, кошторисна вартість проекту – 291,516 тис. гривень. Розпочато  роботи по його впровадженню.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Після завершення робіт, пов’язаних з державною експертизою з енергозбереження, замовники отримали експертні висновки. Передану на </w:t>
      </w:r>
      <w:r>
        <w:rPr>
          <w:sz w:val="28"/>
        </w:rPr>
        <w:lastRenderedPageBreak/>
        <w:t xml:space="preserve">експертизу документацію повернуто замовникам, які надсилали її на розгляд, для впровадження. </w:t>
      </w:r>
    </w:p>
    <w:p w:rsidR="00D503B5" w:rsidRDefault="00D503B5" w:rsidP="00D503B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У 2014 році державна експертиза проектів з енергозбереження не проводилась, так як не надходило від замовників проп</w:t>
      </w:r>
      <w:r w:rsidR="00E649E5">
        <w:rPr>
          <w:sz w:val="28"/>
        </w:rPr>
        <w:t>озицій щодо її проведення.</w:t>
      </w:r>
    </w:p>
    <w:p w:rsidR="00D503B5" w:rsidRDefault="00D503B5" w:rsidP="00D503B5">
      <w:pPr>
        <w:pStyle w:val="Style3"/>
        <w:widowControl/>
        <w:tabs>
          <w:tab w:val="left" w:pos="893"/>
        </w:tabs>
        <w:spacing w:after="12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649E5">
        <w:rPr>
          <w:rFonts w:ascii="Times New Roman" w:hAnsi="Times New Roman" w:cs="Times New Roman"/>
          <w:spacing w:val="-6"/>
          <w:sz w:val="28"/>
          <w:szCs w:val="28"/>
          <w:lang w:val="uk-UA"/>
        </w:rPr>
        <w:t>З метою відновлення роботи з проведення державної експертизи проектів</w:t>
      </w:r>
      <w:r>
        <w:rPr>
          <w:rFonts w:ascii="Times New Roman" w:hAnsi="Times New Roman" w:cs="Times New Roman"/>
          <w:sz w:val="28"/>
          <w:lang w:val="uk-UA"/>
        </w:rPr>
        <w:t xml:space="preserve"> з енергозбереження у подальшому необхідно:</w:t>
      </w:r>
    </w:p>
    <w:p w:rsidR="00D503B5" w:rsidRDefault="00D503B5" w:rsidP="00D503B5">
      <w:pPr>
        <w:pStyle w:val="Style3"/>
        <w:widowControl/>
        <w:tabs>
          <w:tab w:val="left" w:pos="893"/>
        </w:tabs>
        <w:spacing w:after="12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покращити співпрацю територіального управління Держенергоефек</w:t>
      </w:r>
      <w:r>
        <w:rPr>
          <w:rFonts w:ascii="Times New Roman" w:hAnsi="Times New Roman" w:cs="Times New Roman"/>
          <w:sz w:val="28"/>
          <w:lang w:val="uk-UA"/>
        </w:rPr>
        <w:softHyphen/>
        <w:t>тивності України в області з місцевими органами виконавчої влади;</w:t>
      </w:r>
    </w:p>
    <w:p w:rsidR="00D503B5" w:rsidRDefault="00D503B5" w:rsidP="00D503B5">
      <w:pPr>
        <w:pStyle w:val="Title"/>
        <w:ind w:firstLine="708"/>
        <w:jc w:val="both"/>
        <w:rPr>
          <w:szCs w:val="28"/>
        </w:rPr>
      </w:pPr>
      <w:r>
        <w:t>порушити перед відповідними центральними органами влади питання про відновлення фінансування програми енергоефективності та енергоз</w:t>
      </w:r>
      <w:r>
        <w:softHyphen/>
        <w:t>береження.</w:t>
      </w:r>
      <w:r>
        <w:rPr>
          <w:rStyle w:val="FontStyle12"/>
          <w:rFonts w:eastAsia="Arial"/>
          <w:szCs w:val="24"/>
        </w:rPr>
        <w:t xml:space="preserve">   </w:t>
      </w:r>
    </w:p>
    <w:p w:rsidR="00D503B5" w:rsidRDefault="00D503B5" w:rsidP="00D503B5">
      <w:pPr>
        <w:pStyle w:val="Title"/>
        <w:jc w:val="both"/>
        <w:rPr>
          <w:szCs w:val="28"/>
        </w:rPr>
      </w:pPr>
    </w:p>
    <w:p w:rsidR="00D503B5" w:rsidRPr="00C84489" w:rsidRDefault="00D503B5" w:rsidP="00D503B5">
      <w:pPr>
        <w:pStyle w:val="Title"/>
        <w:jc w:val="both"/>
        <w:rPr>
          <w:szCs w:val="28"/>
        </w:rPr>
      </w:pPr>
    </w:p>
    <w:p w:rsidR="00D503B5" w:rsidRPr="00C84489" w:rsidRDefault="00D503B5" w:rsidP="00D503B5">
      <w:pPr>
        <w:pStyle w:val="Title"/>
        <w:jc w:val="left"/>
        <w:rPr>
          <w:szCs w:val="28"/>
        </w:rPr>
      </w:pPr>
      <w:r w:rsidRPr="00C84489">
        <w:rPr>
          <w:szCs w:val="28"/>
        </w:rPr>
        <w:t xml:space="preserve">Заступник голови – керівник </w:t>
      </w:r>
    </w:p>
    <w:p w:rsidR="00D503B5" w:rsidRPr="00C84489" w:rsidRDefault="00D503B5" w:rsidP="00D503B5">
      <w:pPr>
        <w:pStyle w:val="Title"/>
        <w:jc w:val="left"/>
        <w:rPr>
          <w:szCs w:val="28"/>
        </w:rPr>
      </w:pPr>
      <w:r w:rsidRPr="00C84489">
        <w:rPr>
          <w:szCs w:val="28"/>
        </w:rPr>
        <w:t>апарату адміністрації</w:t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  <w:t xml:space="preserve"> </w:t>
      </w:r>
      <w:r w:rsidRPr="00C84489">
        <w:rPr>
          <w:szCs w:val="28"/>
        </w:rPr>
        <w:tab/>
        <w:t xml:space="preserve">        Л.Стебло</w:t>
      </w:r>
    </w:p>
    <w:p w:rsidR="00D503B5" w:rsidRPr="00C84489" w:rsidRDefault="00D503B5" w:rsidP="00D503B5">
      <w:pPr>
        <w:pStyle w:val="Title"/>
        <w:jc w:val="both"/>
        <w:rPr>
          <w:szCs w:val="28"/>
        </w:rPr>
      </w:pPr>
    </w:p>
    <w:p w:rsidR="00D503B5" w:rsidRPr="00C84489" w:rsidRDefault="00D503B5" w:rsidP="00D503B5">
      <w:pPr>
        <w:rPr>
          <w:szCs w:val="28"/>
        </w:rPr>
      </w:pPr>
    </w:p>
    <w:p w:rsidR="00D503B5" w:rsidRPr="00C84489" w:rsidRDefault="00D503B5" w:rsidP="00D503B5">
      <w:pPr>
        <w:rPr>
          <w:szCs w:val="28"/>
        </w:rPr>
      </w:pPr>
    </w:p>
    <w:p w:rsidR="004B70E7" w:rsidRDefault="004B70E7"/>
    <w:sectPr w:rsidR="004B70E7" w:rsidSect="00D5354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CE" w:rsidRDefault="00FE6CCE">
      <w:r>
        <w:separator/>
      </w:r>
    </w:p>
  </w:endnote>
  <w:endnote w:type="continuationSeparator" w:id="0">
    <w:p w:rsidR="00FE6CCE" w:rsidRDefault="00FE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CE" w:rsidRDefault="00FE6CCE">
      <w:r>
        <w:separator/>
      </w:r>
    </w:p>
  </w:footnote>
  <w:footnote w:type="continuationSeparator" w:id="0">
    <w:p w:rsidR="00FE6CCE" w:rsidRDefault="00FE6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4F" w:rsidRDefault="00D5354F" w:rsidP="00D535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5354F" w:rsidRDefault="00D53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4F" w:rsidRDefault="00D5354F" w:rsidP="00D535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493F">
      <w:rPr>
        <w:rStyle w:val="PageNumber"/>
        <w:noProof/>
      </w:rPr>
      <w:t>3</w:t>
    </w:r>
    <w:r>
      <w:rPr>
        <w:rStyle w:val="PageNumber"/>
      </w:rPr>
      <w:fldChar w:fldCharType="end"/>
    </w:r>
  </w:p>
  <w:p w:rsidR="00D5354F" w:rsidRDefault="00D53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B5"/>
    <w:rsid w:val="00147AD1"/>
    <w:rsid w:val="001B4F7C"/>
    <w:rsid w:val="002D28CD"/>
    <w:rsid w:val="0045588F"/>
    <w:rsid w:val="004A0EF6"/>
    <w:rsid w:val="004B70E7"/>
    <w:rsid w:val="00581414"/>
    <w:rsid w:val="00BB493F"/>
    <w:rsid w:val="00C56FEF"/>
    <w:rsid w:val="00D503B5"/>
    <w:rsid w:val="00D5354F"/>
    <w:rsid w:val="00E649E5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3B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503B5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503B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503B5"/>
  </w:style>
  <w:style w:type="paragraph" w:styleId="BodyText2">
    <w:name w:val="Body Text 2"/>
    <w:basedOn w:val="Normal"/>
    <w:rsid w:val="00D503B5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D503B5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D503B5"/>
    <w:pPr>
      <w:jc w:val="center"/>
    </w:pPr>
    <w:rPr>
      <w:sz w:val="28"/>
      <w:szCs w:val="20"/>
    </w:rPr>
  </w:style>
  <w:style w:type="paragraph" w:styleId="BodyText">
    <w:name w:val="Body Text"/>
    <w:basedOn w:val="Normal"/>
    <w:rsid w:val="00D503B5"/>
    <w:pPr>
      <w:spacing w:after="120"/>
    </w:pPr>
  </w:style>
  <w:style w:type="character" w:customStyle="1" w:styleId="apple-converted-space">
    <w:name w:val="apple-converted-space"/>
    <w:basedOn w:val="DefaultParagraphFont"/>
    <w:rsid w:val="00D503B5"/>
  </w:style>
  <w:style w:type="character" w:customStyle="1" w:styleId="FontStyle12">
    <w:name w:val="Font Style12"/>
    <w:basedOn w:val="DefaultParagraphFont"/>
    <w:rsid w:val="00D503B5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3">
    <w:name w:val="Style3"/>
    <w:basedOn w:val="Normal"/>
    <w:rsid w:val="00D503B5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table" w:styleId="TableGrid">
    <w:name w:val="Table Grid"/>
    <w:basedOn w:val="TableNormal"/>
    <w:rsid w:val="00D503B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3B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503B5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503B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503B5"/>
  </w:style>
  <w:style w:type="paragraph" w:styleId="BodyText2">
    <w:name w:val="Body Text 2"/>
    <w:basedOn w:val="Normal"/>
    <w:rsid w:val="00D503B5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D503B5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D503B5"/>
    <w:pPr>
      <w:jc w:val="center"/>
    </w:pPr>
    <w:rPr>
      <w:sz w:val="28"/>
      <w:szCs w:val="20"/>
    </w:rPr>
  </w:style>
  <w:style w:type="paragraph" w:styleId="BodyText">
    <w:name w:val="Body Text"/>
    <w:basedOn w:val="Normal"/>
    <w:rsid w:val="00D503B5"/>
    <w:pPr>
      <w:spacing w:after="120"/>
    </w:pPr>
  </w:style>
  <w:style w:type="character" w:customStyle="1" w:styleId="apple-converted-space">
    <w:name w:val="apple-converted-space"/>
    <w:basedOn w:val="DefaultParagraphFont"/>
    <w:rsid w:val="00D503B5"/>
  </w:style>
  <w:style w:type="character" w:customStyle="1" w:styleId="FontStyle12">
    <w:name w:val="Font Style12"/>
    <w:basedOn w:val="DefaultParagraphFont"/>
    <w:rsid w:val="00D503B5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3">
    <w:name w:val="Style3"/>
    <w:basedOn w:val="Normal"/>
    <w:rsid w:val="00D503B5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table" w:styleId="TableGrid">
    <w:name w:val="Table Grid"/>
    <w:basedOn w:val="TableNormal"/>
    <w:rsid w:val="00D503B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3268</Words>
  <Characters>1864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2014-05-22T14:02:00Z</cp:lastPrinted>
  <dcterms:created xsi:type="dcterms:W3CDTF">2014-06-04T14:26:00Z</dcterms:created>
  <dcterms:modified xsi:type="dcterms:W3CDTF">2014-06-04T14:26:00Z</dcterms:modified>
</cp:coreProperties>
</file>