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tblInd w:w="5148" w:type="dxa"/>
        <w:tblLook w:val="01E0" w:firstRow="1" w:lastRow="1" w:firstColumn="1" w:lastColumn="1" w:noHBand="0" w:noVBand="0"/>
      </w:tblPr>
      <w:tblGrid>
        <w:gridCol w:w="4474"/>
      </w:tblGrid>
      <w:tr w:rsidR="004E7C92" w:rsidRPr="00F12206" w:rsidTr="00940293">
        <w:trPr>
          <w:trHeight w:val="1258"/>
        </w:trPr>
        <w:tc>
          <w:tcPr>
            <w:tcW w:w="4474" w:type="dxa"/>
          </w:tcPr>
          <w:p w:rsidR="004E7C92" w:rsidRPr="00F12206" w:rsidRDefault="004E7C92" w:rsidP="0094029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F122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4E7C92" w:rsidRPr="00F12206" w:rsidRDefault="004E7C92" w:rsidP="0094029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F12206">
              <w:rPr>
                <w:sz w:val="28"/>
                <w:szCs w:val="28"/>
              </w:rPr>
              <w:t xml:space="preserve">до розпорядження голови обласної державної </w:t>
            </w:r>
            <w:proofErr w:type="gramStart"/>
            <w:r w:rsidRPr="00F12206">
              <w:rPr>
                <w:sz w:val="28"/>
                <w:szCs w:val="28"/>
              </w:rPr>
              <w:t>адм</w:t>
            </w:r>
            <w:proofErr w:type="gramEnd"/>
            <w:r w:rsidRPr="00F12206">
              <w:rPr>
                <w:sz w:val="28"/>
                <w:szCs w:val="28"/>
              </w:rPr>
              <w:t xml:space="preserve">іністрації </w:t>
            </w:r>
          </w:p>
          <w:p w:rsidR="004E7C92" w:rsidRPr="00F12206" w:rsidRDefault="00266710" w:rsidP="0094029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</w:t>
            </w:r>
            <w:r w:rsidR="004E7C92" w:rsidRPr="00F12206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376/2014-р</w:t>
            </w:r>
          </w:p>
        </w:tc>
      </w:tr>
    </w:tbl>
    <w:p w:rsidR="004E7C92" w:rsidRPr="00F12206" w:rsidRDefault="004E7C92" w:rsidP="004E7C92">
      <w:pPr>
        <w:jc w:val="center"/>
        <w:rPr>
          <w:b/>
          <w:sz w:val="28"/>
          <w:szCs w:val="28"/>
        </w:rPr>
      </w:pPr>
    </w:p>
    <w:p w:rsidR="004E7C92" w:rsidRPr="00F12206" w:rsidRDefault="004E7C92" w:rsidP="004E7C92">
      <w:pPr>
        <w:jc w:val="center"/>
        <w:rPr>
          <w:b/>
          <w:sz w:val="28"/>
          <w:szCs w:val="28"/>
        </w:rPr>
      </w:pPr>
    </w:p>
    <w:p w:rsidR="004E7C92" w:rsidRPr="00F12206" w:rsidRDefault="004E7C92" w:rsidP="004E7C92">
      <w:pPr>
        <w:jc w:val="center"/>
        <w:rPr>
          <w:b/>
          <w:sz w:val="28"/>
          <w:szCs w:val="28"/>
        </w:rPr>
      </w:pPr>
      <w:r w:rsidRPr="00F12206">
        <w:rPr>
          <w:b/>
          <w:sz w:val="28"/>
          <w:szCs w:val="28"/>
        </w:rPr>
        <w:t>І Н Ф О Р М А Ц І Я</w:t>
      </w:r>
    </w:p>
    <w:p w:rsidR="004E7C92" w:rsidRPr="00F12206" w:rsidRDefault="004E7C92" w:rsidP="004E7C92">
      <w:pPr>
        <w:jc w:val="center"/>
        <w:rPr>
          <w:sz w:val="28"/>
          <w:szCs w:val="28"/>
        </w:rPr>
      </w:pPr>
      <w:r w:rsidRPr="00F12206">
        <w:rPr>
          <w:sz w:val="28"/>
          <w:szCs w:val="28"/>
        </w:rPr>
        <w:t>про посилення взаємодії місцевих органів виконавчої влади, органів місцевого самоврядування, органів Пенсійного фонду України щодо захисту прав застрахованих осіб у соціальному страхуванні</w:t>
      </w:r>
    </w:p>
    <w:p w:rsidR="004E7C92" w:rsidRPr="00F12206" w:rsidRDefault="004E7C92" w:rsidP="004E7C92">
      <w:pPr>
        <w:tabs>
          <w:tab w:val="left" w:pos="525"/>
        </w:tabs>
        <w:ind w:right="30"/>
        <w:jc w:val="center"/>
        <w:rPr>
          <w:sz w:val="18"/>
        </w:rPr>
      </w:pPr>
    </w:p>
    <w:p w:rsidR="004E7C92" w:rsidRPr="00F12206" w:rsidRDefault="004E7C92" w:rsidP="004E7C92">
      <w:pPr>
        <w:tabs>
          <w:tab w:val="left" w:pos="525"/>
        </w:tabs>
        <w:spacing w:after="80"/>
        <w:ind w:firstLine="709"/>
        <w:jc w:val="both"/>
        <w:rPr>
          <w:bCs/>
          <w:sz w:val="28"/>
          <w:szCs w:val="28"/>
        </w:rPr>
      </w:pPr>
      <w:r w:rsidRPr="00F12206">
        <w:rPr>
          <w:bCs/>
          <w:sz w:val="28"/>
          <w:szCs w:val="28"/>
        </w:rPr>
        <w:t>За результатами спільної роботи місцевих органів виконавчої влади, ор</w:t>
      </w:r>
      <w:r w:rsidRPr="00F12206">
        <w:rPr>
          <w:bCs/>
          <w:sz w:val="28"/>
          <w:szCs w:val="28"/>
        </w:rPr>
        <w:softHyphen/>
        <w:t xml:space="preserve">ганів місцевого самоврядування, Пенсійного фонду України в області щодо </w:t>
      </w:r>
      <w:r w:rsidRPr="00F12206">
        <w:rPr>
          <w:sz w:val="28"/>
          <w:szCs w:val="28"/>
        </w:rPr>
        <w:t>за</w:t>
      </w:r>
      <w:r w:rsidRPr="00F12206">
        <w:rPr>
          <w:sz w:val="28"/>
          <w:szCs w:val="28"/>
        </w:rPr>
        <w:softHyphen/>
        <w:t>хисту прав застрахованих осіб у соціальному страхуванні за 8 місяців 2014 ро</w:t>
      </w:r>
      <w:r w:rsidRPr="00F12206">
        <w:rPr>
          <w:sz w:val="28"/>
          <w:szCs w:val="28"/>
        </w:rPr>
        <w:softHyphen/>
        <w:t>ку досягнуто позитивних результатів. Своєчасно і в повному обсязі профінан</w:t>
      </w:r>
      <w:r w:rsidRPr="00F12206">
        <w:rPr>
          <w:sz w:val="28"/>
          <w:szCs w:val="28"/>
        </w:rPr>
        <w:softHyphen/>
        <w:t xml:space="preserve">совано 4,7 млрд.грн. на виплату пенсій. До бюджету Пенсійного фонду, що формується на території області, надійшло власних коштів 2111,2 млн.грн., що на 81,5 млн.грн. </w:t>
      </w:r>
      <w:r w:rsidR="006F19EA" w:rsidRPr="00F12206">
        <w:rPr>
          <w:sz w:val="28"/>
          <w:szCs w:val="28"/>
        </w:rPr>
        <w:t>або на 4% більше ніж за відповідних період минулого року. 97,8% власних надходжень – частина єдиного внеску на загальнообов’язкове державне пенсійне страхування.</w:t>
      </w:r>
    </w:p>
    <w:p w:rsidR="004E7C92" w:rsidRPr="00F12206" w:rsidRDefault="006F19EA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Водночас, при зростанні фонду оплати праці на 1,8% середньооблікова чисельність штатних працівників за даними звітності платників за липень 2014 року скоротилася у порівнянні з початком року на 341 особу, найбільше у Городоцькому (на 901 особу), Волочиському (на 710 осіб), Старосинявському (</w:t>
      </w:r>
      <w:r w:rsidR="00923535">
        <w:rPr>
          <w:rStyle w:val="FontStyle12"/>
          <w:bCs/>
          <w:sz w:val="28"/>
          <w:szCs w:val="28"/>
        </w:rPr>
        <w:t xml:space="preserve">на </w:t>
      </w:r>
      <w:r w:rsidRPr="00F12206">
        <w:rPr>
          <w:rStyle w:val="FontStyle12"/>
          <w:bCs/>
          <w:sz w:val="28"/>
          <w:szCs w:val="28"/>
        </w:rPr>
        <w:t>555 осіб) районах. Це спричинило зменшення забезпеченості Пенсійного фонду власними коштами на виплату пенсій з 45</w:t>
      </w:r>
      <w:r w:rsidR="00923535">
        <w:rPr>
          <w:rStyle w:val="FontStyle12"/>
          <w:bCs/>
          <w:sz w:val="28"/>
          <w:szCs w:val="28"/>
        </w:rPr>
        <w:t>,</w:t>
      </w:r>
      <w:r w:rsidRPr="00F12206">
        <w:rPr>
          <w:rStyle w:val="FontStyle12"/>
          <w:bCs/>
          <w:sz w:val="28"/>
          <w:szCs w:val="28"/>
        </w:rPr>
        <w:t>7% на початок року до 45% за 8 місяців 2014 року.</w:t>
      </w:r>
    </w:p>
    <w:p w:rsidR="006F19EA" w:rsidRPr="00F12206" w:rsidRDefault="006F19EA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Середній розмір заробітної плати, з якої сплачуються внески, у липні 2014 року становив 3047,0 грн., при цьому нараховано заробітної плати у розмірі, меншому за мінімальний, 8,7% працівник</w:t>
      </w:r>
      <w:r w:rsidR="00E837D9">
        <w:rPr>
          <w:rStyle w:val="FontStyle12"/>
          <w:bCs/>
          <w:sz w:val="28"/>
          <w:szCs w:val="28"/>
        </w:rPr>
        <w:t>ам</w:t>
      </w:r>
      <w:r w:rsidRPr="00F12206">
        <w:rPr>
          <w:rStyle w:val="FontStyle12"/>
          <w:bCs/>
          <w:sz w:val="28"/>
          <w:szCs w:val="28"/>
        </w:rPr>
        <w:t xml:space="preserve"> цих платників. Найбільша питома вага таких працівників у Старосинявському (21,1%), Теофіпольському (18,3%), Новоушицькому (13%) та Білогірському (18,1%) районах.</w:t>
      </w:r>
    </w:p>
    <w:p w:rsidR="006F19EA" w:rsidRPr="00F12206" w:rsidRDefault="006F19EA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Крім того, залишається несплаченим борг платників на суму 41,7 млн. грн., з якого 18,0 млн.грн. або 42,8% – борг платників</w:t>
      </w:r>
      <w:r w:rsidR="00923535">
        <w:rPr>
          <w:rStyle w:val="FontStyle12"/>
          <w:bCs/>
          <w:sz w:val="28"/>
          <w:szCs w:val="28"/>
        </w:rPr>
        <w:t>,</w:t>
      </w:r>
      <w:r w:rsidRPr="00F12206">
        <w:rPr>
          <w:rStyle w:val="FontStyle12"/>
          <w:bCs/>
          <w:sz w:val="28"/>
          <w:szCs w:val="28"/>
        </w:rPr>
        <w:t xml:space="preserve"> щодо яких тривають судові процедури банкрутства.</w:t>
      </w:r>
    </w:p>
    <w:p w:rsidR="006F19EA" w:rsidRPr="00F12206" w:rsidRDefault="006F19EA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Заборгованість з відшкодування фактичних витрат на доставку та вип</w:t>
      </w:r>
      <w:r w:rsidRPr="00F12206">
        <w:rPr>
          <w:rStyle w:val="FontStyle12"/>
          <w:bCs/>
          <w:sz w:val="28"/>
          <w:szCs w:val="28"/>
        </w:rPr>
        <w:softHyphen/>
        <w:t xml:space="preserve">лату пільгових пенсій з початку року зросла на 3,7% (789,6 тис.грн.). </w:t>
      </w:r>
      <w:r w:rsidRPr="00923535">
        <w:rPr>
          <w:rStyle w:val="FontStyle12"/>
          <w:bCs/>
          <w:spacing w:val="-4"/>
          <w:sz w:val="28"/>
          <w:szCs w:val="28"/>
        </w:rPr>
        <w:t>Ос</w:t>
      </w:r>
      <w:r w:rsidRPr="00923535">
        <w:rPr>
          <w:rStyle w:val="FontStyle12"/>
          <w:bCs/>
          <w:spacing w:val="-4"/>
          <w:sz w:val="28"/>
          <w:szCs w:val="28"/>
        </w:rPr>
        <w:softHyphen/>
        <w:t>новна причина її зростання – борги підприємств</w:t>
      </w:r>
      <w:r w:rsidR="00940293" w:rsidRPr="00923535">
        <w:rPr>
          <w:rStyle w:val="FontStyle12"/>
          <w:bCs/>
          <w:spacing w:val="-4"/>
          <w:sz w:val="28"/>
          <w:szCs w:val="28"/>
        </w:rPr>
        <w:t xml:space="preserve"> ТДВ “Завод “Адвіс” </w:t>
      </w:r>
      <w:r w:rsidR="00923535" w:rsidRPr="00923535">
        <w:rPr>
          <w:rStyle w:val="FontStyle12"/>
          <w:bCs/>
          <w:spacing w:val="-4"/>
          <w:sz w:val="28"/>
          <w:szCs w:val="28"/>
        </w:rPr>
        <w:t>(</w:t>
      </w:r>
      <w:r w:rsidR="00940293" w:rsidRPr="00923535">
        <w:rPr>
          <w:rStyle w:val="FontStyle12"/>
          <w:bCs/>
          <w:spacing w:val="-4"/>
          <w:sz w:val="28"/>
          <w:szCs w:val="28"/>
        </w:rPr>
        <w:t>м. Хмель</w:t>
      </w:r>
      <w:r w:rsidR="00940293" w:rsidRPr="00F12206">
        <w:rPr>
          <w:rStyle w:val="FontStyle12"/>
          <w:bCs/>
          <w:sz w:val="28"/>
          <w:szCs w:val="28"/>
        </w:rPr>
        <w:softHyphen/>
        <w:t>ницький</w:t>
      </w:r>
      <w:r w:rsidR="00923535">
        <w:rPr>
          <w:rStyle w:val="FontStyle12"/>
          <w:bCs/>
          <w:sz w:val="28"/>
          <w:szCs w:val="28"/>
        </w:rPr>
        <w:t>)</w:t>
      </w:r>
      <w:r w:rsidR="00940293" w:rsidRPr="00F12206">
        <w:rPr>
          <w:rStyle w:val="FontStyle12"/>
          <w:bCs/>
          <w:sz w:val="28"/>
          <w:szCs w:val="28"/>
        </w:rPr>
        <w:t xml:space="preserve"> – 3,3 млн.грн., ДП Нігинський кар’єр” – 1,7 млн.грн., ПАТ “Полон</w:t>
      </w:r>
      <w:r w:rsidR="00940293" w:rsidRPr="00F12206">
        <w:rPr>
          <w:rStyle w:val="FontStyle12"/>
          <w:bCs/>
          <w:sz w:val="28"/>
          <w:szCs w:val="28"/>
        </w:rPr>
        <w:softHyphen/>
        <w:t>ський гірничий комбінат” – 863,9 тис. гривень.</w:t>
      </w:r>
    </w:p>
    <w:p w:rsidR="00940293" w:rsidRPr="00F12206" w:rsidRDefault="00940293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Аналіз б</w:t>
      </w:r>
      <w:r w:rsidR="00BD4C03">
        <w:rPr>
          <w:rStyle w:val="FontStyle12"/>
          <w:bCs/>
          <w:sz w:val="28"/>
          <w:szCs w:val="28"/>
        </w:rPr>
        <w:t>о</w:t>
      </w:r>
      <w:r w:rsidRPr="00F12206">
        <w:rPr>
          <w:rStyle w:val="FontStyle12"/>
          <w:bCs/>
          <w:sz w:val="28"/>
          <w:szCs w:val="28"/>
        </w:rPr>
        <w:t>ргу у розрізі основних галузей господарювання свідчить, що 18,5 млн.грн. або 43,9% від загального боргу, обліковується за промисловими підприємствами. У порівнянні з початком року борг зменшився на 4,9 млн. гривень. В абсолютних сумах найбільше заборг</w:t>
      </w:r>
      <w:r w:rsidR="00923535">
        <w:rPr>
          <w:rStyle w:val="FontStyle12"/>
          <w:bCs/>
          <w:sz w:val="28"/>
          <w:szCs w:val="28"/>
        </w:rPr>
        <w:t xml:space="preserve">овано </w:t>
      </w:r>
      <w:r w:rsidRPr="00F12206">
        <w:rPr>
          <w:rStyle w:val="FontStyle12"/>
          <w:bCs/>
          <w:sz w:val="28"/>
          <w:szCs w:val="28"/>
        </w:rPr>
        <w:t>промислов</w:t>
      </w:r>
      <w:r w:rsidR="00923535">
        <w:rPr>
          <w:rStyle w:val="FontStyle12"/>
          <w:bCs/>
          <w:sz w:val="28"/>
          <w:szCs w:val="28"/>
        </w:rPr>
        <w:t>ими</w:t>
      </w:r>
      <w:r w:rsidRPr="00F12206">
        <w:rPr>
          <w:rStyle w:val="FontStyle12"/>
          <w:bCs/>
          <w:sz w:val="28"/>
          <w:szCs w:val="28"/>
        </w:rPr>
        <w:t xml:space="preserve"> підпри</w:t>
      </w:r>
      <w:r w:rsidR="00923535">
        <w:rPr>
          <w:rStyle w:val="FontStyle12"/>
          <w:bCs/>
          <w:sz w:val="28"/>
          <w:szCs w:val="28"/>
        </w:rPr>
        <w:softHyphen/>
      </w:r>
      <w:r w:rsidRPr="00F12206">
        <w:rPr>
          <w:rStyle w:val="FontStyle12"/>
          <w:bCs/>
          <w:sz w:val="28"/>
          <w:szCs w:val="28"/>
        </w:rPr>
        <w:lastRenderedPageBreak/>
        <w:t>ємства</w:t>
      </w:r>
      <w:r w:rsidR="00923535">
        <w:rPr>
          <w:rStyle w:val="FontStyle12"/>
          <w:bCs/>
          <w:sz w:val="28"/>
          <w:szCs w:val="28"/>
        </w:rPr>
        <w:t>ми</w:t>
      </w:r>
      <w:r w:rsidRPr="00F12206">
        <w:rPr>
          <w:rStyle w:val="FontStyle12"/>
          <w:bCs/>
          <w:sz w:val="28"/>
          <w:szCs w:val="28"/>
        </w:rPr>
        <w:t xml:space="preserve"> Полонського району – 4,6 млн.грн., м. Кам’янець-Подільський та Кам’янець-Подільського району – 4,2 млн.грн., </w:t>
      </w:r>
      <w:r w:rsidR="00A00436" w:rsidRPr="00F12206">
        <w:rPr>
          <w:rStyle w:val="FontStyle12"/>
          <w:bCs/>
          <w:sz w:val="28"/>
          <w:szCs w:val="28"/>
        </w:rPr>
        <w:t>м. Шепетівка та Шепетівського району – 3,6 млн.грн., м. Хмельницький – 3,6 млн. гривень.</w:t>
      </w:r>
    </w:p>
    <w:p w:rsidR="00A00436" w:rsidRPr="00F12206" w:rsidRDefault="00A00436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Понад 2,5% у загальній сумі боргу становлять борги підприємств жит</w:t>
      </w:r>
      <w:r w:rsidRPr="00F12206">
        <w:rPr>
          <w:rStyle w:val="FontStyle12"/>
          <w:bCs/>
          <w:sz w:val="28"/>
          <w:szCs w:val="28"/>
        </w:rPr>
        <w:softHyphen/>
        <w:t>лово-комунального господарства області</w:t>
      </w:r>
      <w:r w:rsidR="00923535">
        <w:rPr>
          <w:rStyle w:val="FontStyle12"/>
          <w:bCs/>
          <w:sz w:val="28"/>
          <w:szCs w:val="28"/>
        </w:rPr>
        <w:t xml:space="preserve"> –</w:t>
      </w:r>
      <w:r w:rsidRPr="00F12206">
        <w:rPr>
          <w:rStyle w:val="FontStyle12"/>
          <w:bCs/>
          <w:sz w:val="28"/>
          <w:szCs w:val="28"/>
        </w:rPr>
        <w:t xml:space="preserve"> 1,1 млн. гривень. У порівнянні з початком року борг зменшився на 0,3 млн.грн. або на 22,3 відсотка. На 01 ве</w:t>
      </w:r>
      <w:r w:rsidRPr="00F12206">
        <w:rPr>
          <w:rStyle w:val="FontStyle12"/>
          <w:bCs/>
          <w:sz w:val="28"/>
          <w:szCs w:val="28"/>
        </w:rPr>
        <w:softHyphen/>
        <w:t>ресня цього року 2 економічно-активних підприємства житлово-комунального господарства мають заборгованість в сумі 5,4 тис. гривень.</w:t>
      </w:r>
    </w:p>
    <w:p w:rsidR="00A00436" w:rsidRPr="00F12206" w:rsidRDefault="00A00436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З метою мобілізації коштів до бюджету Пенсійного фонду України вжи</w:t>
      </w:r>
      <w:r w:rsidRPr="00F12206">
        <w:rPr>
          <w:rStyle w:val="FontStyle12"/>
          <w:bCs/>
          <w:sz w:val="28"/>
          <w:szCs w:val="28"/>
        </w:rPr>
        <w:softHyphen/>
        <w:t>то низку спільних заходів з місцевими органами влади, правоохоронними та контролюючими органами щодо примусового стягнення. Це дозволило забез</w:t>
      </w:r>
      <w:r w:rsidRPr="00F12206">
        <w:rPr>
          <w:rStyle w:val="FontStyle12"/>
          <w:bCs/>
          <w:sz w:val="28"/>
          <w:szCs w:val="28"/>
        </w:rPr>
        <w:softHyphen/>
        <w:t>печити надходження 6,7 млн.грн. на погашення боргів (у тому числі 2,7 млн. грн. від Державної виконавчої служби області), що на 96,1 тис.грн. (96,6%) менше ніж за відповідний період торік.</w:t>
      </w:r>
    </w:p>
    <w:p w:rsidR="00A00436" w:rsidRPr="00F12206" w:rsidRDefault="00A00436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Протягом січня-серпня 2014 року направлено матеріали до комісій з пи</w:t>
      </w:r>
      <w:r w:rsidRPr="00F12206">
        <w:rPr>
          <w:rStyle w:val="FontStyle12"/>
          <w:bCs/>
          <w:sz w:val="28"/>
          <w:szCs w:val="28"/>
        </w:rPr>
        <w:softHyphen/>
        <w:t>тань погашення заборгованості із заробітної плати (грошового забезпечення), пенсій, стипендій та інших соціальних виплат щодо 192 керівників, які допус</w:t>
      </w:r>
      <w:r w:rsidRPr="00F12206">
        <w:rPr>
          <w:rStyle w:val="FontStyle12"/>
          <w:bCs/>
          <w:sz w:val="28"/>
          <w:szCs w:val="28"/>
        </w:rPr>
        <w:softHyphen/>
        <w:t xml:space="preserve">тили зростання заборгованості, з них 152 заслухано на нарадах за участю представників Пенсійного фонду України в області з метою вжиття заходів, спрямованих на погашення боргів. За цей час поінформовано </w:t>
      </w:r>
      <w:r w:rsidR="00F26EB0" w:rsidRPr="00F12206">
        <w:rPr>
          <w:rStyle w:val="FontStyle12"/>
          <w:bCs/>
          <w:sz w:val="28"/>
          <w:szCs w:val="28"/>
        </w:rPr>
        <w:t>соціальних парт</w:t>
      </w:r>
      <w:r w:rsidR="00F26EB0" w:rsidRPr="00F12206">
        <w:rPr>
          <w:rStyle w:val="FontStyle12"/>
          <w:bCs/>
          <w:sz w:val="28"/>
          <w:szCs w:val="28"/>
        </w:rPr>
        <w:softHyphen/>
        <w:t>нерів щодо 86 виявлених фактів зростання заборгованості. Направлено 9 мате</w:t>
      </w:r>
      <w:r w:rsidR="00F26EB0" w:rsidRPr="00F12206">
        <w:rPr>
          <w:rStyle w:val="FontStyle12"/>
          <w:bCs/>
          <w:sz w:val="28"/>
          <w:szCs w:val="28"/>
        </w:rPr>
        <w:softHyphen/>
        <w:t>ріалів на розірвання контрактів (трудових відносин) з керівниками підпри</w:t>
      </w:r>
      <w:r w:rsidR="00F26EB0" w:rsidRPr="00F12206">
        <w:rPr>
          <w:rStyle w:val="FontStyle12"/>
          <w:bCs/>
          <w:sz w:val="28"/>
          <w:szCs w:val="28"/>
        </w:rPr>
        <w:softHyphen/>
        <w:t xml:space="preserve">ємств-боржників, розірвано </w:t>
      </w:r>
      <w:r w:rsidR="00BD4C03">
        <w:rPr>
          <w:rStyle w:val="FontStyle12"/>
          <w:bCs/>
          <w:sz w:val="28"/>
          <w:szCs w:val="28"/>
        </w:rPr>
        <w:t xml:space="preserve">– </w:t>
      </w:r>
      <w:r w:rsidR="00F26EB0" w:rsidRPr="00F12206">
        <w:rPr>
          <w:rStyle w:val="FontStyle12"/>
          <w:bCs/>
          <w:sz w:val="28"/>
          <w:szCs w:val="28"/>
        </w:rPr>
        <w:t xml:space="preserve">з 1 керівником. У результаті проведених заходів 188 платників повністю та 296 частково погасили заборгованість зі сплати </w:t>
      </w:r>
      <w:r w:rsidR="00F26EB0" w:rsidRPr="00F12206">
        <w:rPr>
          <w:rStyle w:val="FontStyle12"/>
          <w:bCs/>
          <w:spacing w:val="-6"/>
          <w:sz w:val="28"/>
          <w:szCs w:val="28"/>
        </w:rPr>
        <w:t>страхових внесків та відшкодування пільгових пенсій на загальну суму 4,7 млн</w:t>
      </w:r>
      <w:r w:rsidR="00F26EB0" w:rsidRPr="00F12206">
        <w:rPr>
          <w:rStyle w:val="FontStyle12"/>
          <w:bCs/>
          <w:sz w:val="28"/>
          <w:szCs w:val="28"/>
        </w:rPr>
        <w:t>. гривень.</w:t>
      </w:r>
    </w:p>
    <w:p w:rsidR="00F26EB0" w:rsidRPr="00F12206" w:rsidRDefault="00F26EB0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Водночас, діяльність робочих груп з питань легалізації зайнятості та одержуваних доходів у Білогірському, Городоцькому, Красилівському, Хмель</w:t>
      </w:r>
      <w:r w:rsidRPr="00F12206">
        <w:rPr>
          <w:rStyle w:val="FontStyle12"/>
          <w:bCs/>
          <w:sz w:val="28"/>
          <w:szCs w:val="28"/>
        </w:rPr>
        <w:softHyphen/>
        <w:t>ницькому та Ярмолинецькому районах була безрезультатно</w:t>
      </w:r>
      <w:r w:rsidR="00923535">
        <w:rPr>
          <w:rStyle w:val="FontStyle12"/>
          <w:bCs/>
          <w:sz w:val="28"/>
          <w:szCs w:val="28"/>
        </w:rPr>
        <w:t>ю</w:t>
      </w:r>
      <w:r w:rsidRPr="00F12206">
        <w:rPr>
          <w:rStyle w:val="FontStyle12"/>
          <w:bCs/>
          <w:sz w:val="28"/>
          <w:szCs w:val="28"/>
        </w:rPr>
        <w:t xml:space="preserve"> </w:t>
      </w:r>
      <w:r w:rsidR="00923535">
        <w:rPr>
          <w:rStyle w:val="FontStyle12"/>
          <w:bCs/>
          <w:sz w:val="28"/>
          <w:szCs w:val="28"/>
        </w:rPr>
        <w:t>та</w:t>
      </w:r>
      <w:r w:rsidRPr="00F12206">
        <w:rPr>
          <w:rStyle w:val="FontStyle12"/>
          <w:bCs/>
          <w:sz w:val="28"/>
          <w:szCs w:val="28"/>
        </w:rPr>
        <w:t xml:space="preserve"> потребує поліпшення.</w:t>
      </w:r>
    </w:p>
    <w:p w:rsidR="00F26EB0" w:rsidRPr="00F12206" w:rsidRDefault="00F26EB0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Цьогоріч усіма формами інформаційно-роз’яснювальної роботи охопле</w:t>
      </w:r>
      <w:r w:rsidRPr="00F12206">
        <w:rPr>
          <w:rStyle w:val="FontStyle12"/>
          <w:bCs/>
          <w:sz w:val="28"/>
          <w:szCs w:val="28"/>
        </w:rPr>
        <w:softHyphen/>
        <w:t>но 433,8 тис. різних категорій громадян, що становить 36,6% від тих, які під</w:t>
      </w:r>
      <w:r w:rsidRPr="00F12206">
        <w:rPr>
          <w:rStyle w:val="FontStyle12"/>
          <w:bCs/>
          <w:sz w:val="28"/>
          <w:szCs w:val="28"/>
        </w:rPr>
        <w:softHyphen/>
        <w:t>лягають інформуванню.</w:t>
      </w:r>
    </w:p>
    <w:p w:rsidR="00F26EB0" w:rsidRPr="00F12206" w:rsidRDefault="00F26EB0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Зокрема, проведено 2480 зустрічей із трудовими колективами підпри</w:t>
      </w:r>
      <w:r w:rsidRPr="00F12206">
        <w:rPr>
          <w:rStyle w:val="FontStyle12"/>
          <w:bCs/>
          <w:sz w:val="28"/>
          <w:szCs w:val="28"/>
        </w:rPr>
        <w:softHyphen/>
        <w:t>ємств, установ, організацій</w:t>
      </w:r>
      <w:r w:rsidR="00BD4C03">
        <w:rPr>
          <w:rStyle w:val="FontStyle12"/>
          <w:bCs/>
          <w:sz w:val="28"/>
          <w:szCs w:val="28"/>
        </w:rPr>
        <w:t>,</w:t>
      </w:r>
      <w:r w:rsidRPr="00F12206">
        <w:rPr>
          <w:rStyle w:val="FontStyle12"/>
          <w:bCs/>
          <w:sz w:val="28"/>
          <w:szCs w:val="28"/>
        </w:rPr>
        <w:t xml:space="preserve"> громадськими профспілковими організаціями об</w:t>
      </w:r>
      <w:r w:rsidRPr="00F12206">
        <w:rPr>
          <w:rStyle w:val="FontStyle12"/>
          <w:bCs/>
          <w:sz w:val="28"/>
          <w:szCs w:val="28"/>
        </w:rPr>
        <w:softHyphen/>
        <w:t>ласті та жителями населених пунктів за місцем проживання, якими охоплено 78,7 тис. осіб.</w:t>
      </w:r>
    </w:p>
    <w:p w:rsidR="00F26EB0" w:rsidRPr="00F12206" w:rsidRDefault="00F26EB0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Для роботодавців області проведено 58 навчально-роз’яснювальних се</w:t>
      </w:r>
      <w:r w:rsidRPr="00F12206">
        <w:rPr>
          <w:rStyle w:val="FontStyle12"/>
          <w:bCs/>
          <w:sz w:val="28"/>
          <w:szCs w:val="28"/>
        </w:rPr>
        <w:softHyphen/>
        <w:t>мі</w:t>
      </w:r>
      <w:r w:rsidRPr="00F12206">
        <w:rPr>
          <w:rStyle w:val="FontStyle12"/>
          <w:bCs/>
          <w:sz w:val="28"/>
          <w:szCs w:val="28"/>
        </w:rPr>
        <w:softHyphen/>
        <w:t>нарів з метою їх повнішої інформованості щодо порядку та умов сплати страхових внесків.</w:t>
      </w:r>
    </w:p>
    <w:p w:rsidR="00F26EB0" w:rsidRPr="00F12206" w:rsidRDefault="00F26EB0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 xml:space="preserve">Крім того </w:t>
      </w:r>
      <w:r w:rsidR="000D1DC5" w:rsidRPr="00F12206">
        <w:rPr>
          <w:rStyle w:val="FontStyle12"/>
          <w:bCs/>
          <w:sz w:val="28"/>
          <w:szCs w:val="28"/>
        </w:rPr>
        <w:t>залучено до роз’яснення основ пенсійного законодавства без</w:t>
      </w:r>
      <w:r w:rsidR="000D1DC5" w:rsidRPr="00F12206">
        <w:rPr>
          <w:rStyle w:val="FontStyle12"/>
          <w:bCs/>
          <w:sz w:val="28"/>
          <w:szCs w:val="28"/>
        </w:rPr>
        <w:softHyphen/>
        <w:t>робітних громадян, студентську молодь та учнів загальноосвітніх шкіл. Зокре</w:t>
      </w:r>
      <w:r w:rsidR="000D1DC5" w:rsidRPr="00F12206">
        <w:rPr>
          <w:rStyle w:val="FontStyle12"/>
          <w:bCs/>
          <w:sz w:val="28"/>
          <w:szCs w:val="28"/>
        </w:rPr>
        <w:softHyphen/>
        <w:t xml:space="preserve">ма, проведено 549 уроків для 10,4 тис. учнів загальноосвітніх шкіл, прочитано </w:t>
      </w:r>
      <w:r w:rsidR="000D1DC5" w:rsidRPr="00F12206">
        <w:rPr>
          <w:rStyle w:val="FontStyle12"/>
          <w:bCs/>
          <w:sz w:val="28"/>
          <w:szCs w:val="28"/>
        </w:rPr>
        <w:lastRenderedPageBreak/>
        <w:t>381 лекцію для понад 7,3 тис. безробітних громадян. Проведено 61 день від</w:t>
      </w:r>
      <w:r w:rsidR="000D1DC5" w:rsidRPr="00F12206">
        <w:rPr>
          <w:rStyle w:val="FontStyle12"/>
          <w:bCs/>
          <w:sz w:val="28"/>
          <w:szCs w:val="28"/>
        </w:rPr>
        <w:softHyphen/>
        <w:t>критих дверей для 1,4 тис. осіб студентської молоді.</w:t>
      </w:r>
    </w:p>
    <w:p w:rsidR="000D1DC5" w:rsidRPr="00F12206" w:rsidRDefault="00F12206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pacing w:val="-6"/>
          <w:sz w:val="28"/>
          <w:szCs w:val="28"/>
        </w:rPr>
        <w:t>У січні-серпні цього року у засобах масової інформації висвітлено 985 ма</w:t>
      </w:r>
      <w:r w:rsidRPr="00F12206">
        <w:rPr>
          <w:rStyle w:val="FontStyle12"/>
          <w:bCs/>
          <w:spacing w:val="-6"/>
          <w:sz w:val="28"/>
          <w:szCs w:val="28"/>
        </w:rPr>
        <w:softHyphen/>
      </w:r>
      <w:r w:rsidRPr="00F12206">
        <w:rPr>
          <w:rStyle w:val="FontStyle12"/>
          <w:bCs/>
          <w:sz w:val="28"/>
          <w:szCs w:val="28"/>
        </w:rPr>
        <w:t>теріалів, у тому числі 368 статей на сторінках друкованих видань та озвучено на радіо та телебаченні 617 виступів.</w:t>
      </w:r>
    </w:p>
    <w:p w:rsidR="00F12206" w:rsidRPr="00F12206" w:rsidRDefault="00F12206" w:rsidP="004E7C92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 w:rsidRPr="00F12206">
        <w:rPr>
          <w:rStyle w:val="FontStyle12"/>
          <w:bCs/>
          <w:sz w:val="28"/>
          <w:szCs w:val="28"/>
        </w:rPr>
        <w:t>Виготовлено та розповсюджено на підприємствах, організаціях, устано</w:t>
      </w:r>
      <w:r w:rsidRPr="00F12206">
        <w:rPr>
          <w:rStyle w:val="FontStyle12"/>
          <w:bCs/>
          <w:sz w:val="28"/>
          <w:szCs w:val="28"/>
        </w:rPr>
        <w:softHyphen/>
        <w:t>вах та серед населення області 160 видів листівок, 50 буклетів, виготовлено 128 інформаційних бюлетенів та повідомлень.</w:t>
      </w:r>
    </w:p>
    <w:p w:rsidR="004E7C92" w:rsidRPr="00F12206" w:rsidRDefault="004E7C92" w:rsidP="004E7C92">
      <w:pPr>
        <w:rPr>
          <w:sz w:val="28"/>
          <w:szCs w:val="28"/>
        </w:rPr>
      </w:pPr>
    </w:p>
    <w:p w:rsidR="004E7C92" w:rsidRPr="00F12206" w:rsidRDefault="004E7C92" w:rsidP="004E7C92">
      <w:pPr>
        <w:rPr>
          <w:sz w:val="28"/>
          <w:szCs w:val="28"/>
        </w:rPr>
      </w:pPr>
    </w:p>
    <w:p w:rsidR="004E7C92" w:rsidRPr="00F12206" w:rsidRDefault="004E7C92" w:rsidP="004E7C92">
      <w:pPr>
        <w:rPr>
          <w:sz w:val="28"/>
          <w:szCs w:val="28"/>
        </w:rPr>
      </w:pPr>
      <w:r w:rsidRPr="00F12206">
        <w:rPr>
          <w:sz w:val="28"/>
          <w:szCs w:val="28"/>
        </w:rPr>
        <w:t>Заступник голови</w:t>
      </w:r>
    </w:p>
    <w:p w:rsidR="004E7C92" w:rsidRPr="00F12206" w:rsidRDefault="004E7C92" w:rsidP="004E7C92">
      <w:pPr>
        <w:rPr>
          <w:sz w:val="28"/>
          <w:szCs w:val="28"/>
          <w:lang w:val="ru-RU"/>
        </w:rPr>
      </w:pPr>
      <w:r w:rsidRPr="00F12206">
        <w:rPr>
          <w:sz w:val="28"/>
          <w:szCs w:val="28"/>
        </w:rPr>
        <w:t>адміністрації</w:t>
      </w:r>
      <w:r w:rsidRPr="00F12206">
        <w:rPr>
          <w:sz w:val="28"/>
          <w:szCs w:val="28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</w:r>
      <w:r w:rsidRPr="00F12206">
        <w:rPr>
          <w:sz w:val="28"/>
          <w:szCs w:val="28"/>
          <w:lang w:val="ru-RU"/>
        </w:rPr>
        <w:tab/>
        <w:t xml:space="preserve">    </w:t>
      </w:r>
      <w:r w:rsidR="00F12206" w:rsidRPr="00F12206">
        <w:rPr>
          <w:sz w:val="28"/>
          <w:szCs w:val="28"/>
          <w:lang w:val="ru-RU"/>
        </w:rPr>
        <w:t xml:space="preserve"> </w:t>
      </w:r>
      <w:r w:rsidRPr="00F12206">
        <w:rPr>
          <w:sz w:val="28"/>
          <w:szCs w:val="28"/>
          <w:lang w:val="ru-RU"/>
        </w:rPr>
        <w:t xml:space="preserve">    </w:t>
      </w:r>
      <w:r w:rsidR="00F12206" w:rsidRPr="00F12206">
        <w:rPr>
          <w:sz w:val="28"/>
          <w:szCs w:val="28"/>
          <w:lang w:val="ru-RU"/>
        </w:rPr>
        <w:t>В.Кальніченко</w:t>
      </w:r>
    </w:p>
    <w:p w:rsidR="00E73DE3" w:rsidRPr="00F12206" w:rsidRDefault="00E73DE3"/>
    <w:sectPr w:rsidR="00E73DE3" w:rsidRPr="00F12206" w:rsidSect="00940293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70" w:rsidRDefault="009B6E70">
      <w:r>
        <w:separator/>
      </w:r>
    </w:p>
  </w:endnote>
  <w:endnote w:type="continuationSeparator" w:id="0">
    <w:p w:rsidR="009B6E70" w:rsidRDefault="009B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70" w:rsidRDefault="009B6E70">
      <w:r>
        <w:separator/>
      </w:r>
    </w:p>
  </w:footnote>
  <w:footnote w:type="continuationSeparator" w:id="0">
    <w:p w:rsidR="009B6E70" w:rsidRDefault="009B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93" w:rsidRDefault="00940293" w:rsidP="009402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535">
      <w:rPr>
        <w:rStyle w:val="PageNumber"/>
        <w:noProof/>
      </w:rPr>
      <w:t>3</w:t>
    </w:r>
    <w:r>
      <w:rPr>
        <w:rStyle w:val="PageNumber"/>
      </w:rPr>
      <w:fldChar w:fldCharType="end"/>
    </w:r>
  </w:p>
  <w:p w:rsidR="00940293" w:rsidRDefault="00940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93" w:rsidRDefault="00940293" w:rsidP="009402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BCB">
      <w:rPr>
        <w:rStyle w:val="PageNumber"/>
        <w:noProof/>
      </w:rPr>
      <w:t>2</w:t>
    </w:r>
    <w:r>
      <w:rPr>
        <w:rStyle w:val="PageNumber"/>
      </w:rPr>
      <w:fldChar w:fldCharType="end"/>
    </w:r>
  </w:p>
  <w:p w:rsidR="00940293" w:rsidRDefault="00940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C6"/>
    <w:rsid w:val="000D1DC5"/>
    <w:rsid w:val="002404C9"/>
    <w:rsid w:val="00242761"/>
    <w:rsid w:val="00266710"/>
    <w:rsid w:val="00360998"/>
    <w:rsid w:val="003E5737"/>
    <w:rsid w:val="004812C5"/>
    <w:rsid w:val="004E7C92"/>
    <w:rsid w:val="006F19EA"/>
    <w:rsid w:val="00751770"/>
    <w:rsid w:val="007A2BCB"/>
    <w:rsid w:val="00923535"/>
    <w:rsid w:val="00940293"/>
    <w:rsid w:val="009B6E70"/>
    <w:rsid w:val="00A00436"/>
    <w:rsid w:val="00A177FA"/>
    <w:rsid w:val="00A607A6"/>
    <w:rsid w:val="00AE1AB1"/>
    <w:rsid w:val="00BD4C03"/>
    <w:rsid w:val="00C5414A"/>
    <w:rsid w:val="00DC68D8"/>
    <w:rsid w:val="00E73DE3"/>
    <w:rsid w:val="00E837D9"/>
    <w:rsid w:val="00F12206"/>
    <w:rsid w:val="00F26EB0"/>
    <w:rsid w:val="00F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E7C92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2">
    <w:name w:val="Font Style12"/>
    <w:basedOn w:val="DefaultParagraphFont"/>
    <w:rsid w:val="004E7C9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rsid w:val="004E7C92"/>
    <w:rPr>
      <w:rFonts w:ascii="Times New Roman" w:hAnsi="Times New Roman" w:cs="Times New Roman"/>
      <w:b/>
      <w:bCs/>
      <w:sz w:val="26"/>
      <w:szCs w:val="26"/>
    </w:rPr>
  </w:style>
  <w:style w:type="paragraph" w:customStyle="1" w:styleId="a">
    <w:name w:val="Без интервала"/>
    <w:rsid w:val="004E7C92"/>
    <w:pPr>
      <w:widowControl w:val="0"/>
      <w:suppressAutoHyphens/>
      <w:autoSpaceDE w:val="0"/>
    </w:pPr>
    <w:rPr>
      <w:rFonts w:eastAsia="Arial"/>
      <w:sz w:val="24"/>
      <w:szCs w:val="24"/>
      <w:lang w:val="ru-RU" w:eastAsia="ar-SA"/>
    </w:rPr>
  </w:style>
  <w:style w:type="character" w:customStyle="1" w:styleId="Heading1Char">
    <w:name w:val="Heading 1 Char"/>
    <w:basedOn w:val="DefaultParagraphFont"/>
    <w:link w:val="Heading1"/>
    <w:locked/>
    <w:rsid w:val="004E7C92"/>
    <w:rPr>
      <w:rFonts w:ascii="Arial" w:eastAsia="Calibri" w:hAnsi="Arial" w:cs="Arial"/>
      <w:b/>
      <w:bCs/>
      <w:kern w:val="32"/>
      <w:sz w:val="32"/>
      <w:szCs w:val="32"/>
      <w:lang w:val="uk-UA" w:eastAsia="uk-UA" w:bidi="ar-SA"/>
    </w:rPr>
  </w:style>
  <w:style w:type="paragraph" w:styleId="BodyText2">
    <w:name w:val="Body Text 2"/>
    <w:basedOn w:val="Normal"/>
    <w:link w:val="BodyText2Char"/>
    <w:rsid w:val="004E7C92"/>
    <w:pPr>
      <w:suppressAutoHyphens w:val="0"/>
      <w:spacing w:after="120" w:line="480" w:lineRule="auto"/>
    </w:pPr>
    <w:rPr>
      <w:rFonts w:eastAsia="Calibri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4E7C92"/>
    <w:rPr>
      <w:rFonts w:eastAsia="Calibri"/>
      <w:sz w:val="24"/>
      <w:szCs w:val="24"/>
      <w:lang w:val="ru-RU" w:eastAsia="ru-RU" w:bidi="ar-SA"/>
    </w:rPr>
  </w:style>
  <w:style w:type="paragraph" w:styleId="Header">
    <w:name w:val="header"/>
    <w:basedOn w:val="Normal"/>
    <w:rsid w:val="004E7C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7C92"/>
  </w:style>
  <w:style w:type="paragraph" w:styleId="BalloonText">
    <w:name w:val="Balloon Text"/>
    <w:basedOn w:val="Normal"/>
    <w:semiHidden/>
    <w:rsid w:val="00F12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E7C92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2">
    <w:name w:val="Font Style12"/>
    <w:basedOn w:val="DefaultParagraphFont"/>
    <w:rsid w:val="004E7C9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rsid w:val="004E7C92"/>
    <w:rPr>
      <w:rFonts w:ascii="Times New Roman" w:hAnsi="Times New Roman" w:cs="Times New Roman"/>
      <w:b/>
      <w:bCs/>
      <w:sz w:val="26"/>
      <w:szCs w:val="26"/>
    </w:rPr>
  </w:style>
  <w:style w:type="paragraph" w:customStyle="1" w:styleId="a">
    <w:name w:val="Без интервала"/>
    <w:rsid w:val="004E7C92"/>
    <w:pPr>
      <w:widowControl w:val="0"/>
      <w:suppressAutoHyphens/>
      <w:autoSpaceDE w:val="0"/>
    </w:pPr>
    <w:rPr>
      <w:rFonts w:eastAsia="Arial"/>
      <w:sz w:val="24"/>
      <w:szCs w:val="24"/>
      <w:lang w:val="ru-RU" w:eastAsia="ar-SA"/>
    </w:rPr>
  </w:style>
  <w:style w:type="character" w:customStyle="1" w:styleId="Heading1Char">
    <w:name w:val="Heading 1 Char"/>
    <w:basedOn w:val="DefaultParagraphFont"/>
    <w:link w:val="Heading1"/>
    <w:locked/>
    <w:rsid w:val="004E7C92"/>
    <w:rPr>
      <w:rFonts w:ascii="Arial" w:eastAsia="Calibri" w:hAnsi="Arial" w:cs="Arial"/>
      <w:b/>
      <w:bCs/>
      <w:kern w:val="32"/>
      <w:sz w:val="32"/>
      <w:szCs w:val="32"/>
      <w:lang w:val="uk-UA" w:eastAsia="uk-UA" w:bidi="ar-SA"/>
    </w:rPr>
  </w:style>
  <w:style w:type="paragraph" w:styleId="BodyText2">
    <w:name w:val="Body Text 2"/>
    <w:basedOn w:val="Normal"/>
    <w:link w:val="BodyText2Char"/>
    <w:rsid w:val="004E7C92"/>
    <w:pPr>
      <w:suppressAutoHyphens w:val="0"/>
      <w:spacing w:after="120" w:line="480" w:lineRule="auto"/>
    </w:pPr>
    <w:rPr>
      <w:rFonts w:eastAsia="Calibri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4E7C92"/>
    <w:rPr>
      <w:rFonts w:eastAsia="Calibri"/>
      <w:sz w:val="24"/>
      <w:szCs w:val="24"/>
      <w:lang w:val="ru-RU" w:eastAsia="ru-RU" w:bidi="ar-SA"/>
    </w:rPr>
  </w:style>
  <w:style w:type="paragraph" w:styleId="Header">
    <w:name w:val="header"/>
    <w:basedOn w:val="Normal"/>
    <w:rsid w:val="004E7C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7C92"/>
  </w:style>
  <w:style w:type="paragraph" w:styleId="BalloonText">
    <w:name w:val="Balloon Text"/>
    <w:basedOn w:val="Normal"/>
    <w:semiHidden/>
    <w:rsid w:val="00F12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2014-09-25T12:35:00Z</cp:lastPrinted>
  <dcterms:created xsi:type="dcterms:W3CDTF">2014-10-01T14:43:00Z</dcterms:created>
  <dcterms:modified xsi:type="dcterms:W3CDTF">2014-10-01T14:43:00Z</dcterms:modified>
</cp:coreProperties>
</file>