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88" w:rsidRPr="00E5325F" w:rsidRDefault="001660AA" w:rsidP="009D5488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5488" w:rsidRDefault="009D5488" w:rsidP="009D5488">
      <w:pPr>
        <w:rPr>
          <w:sz w:val="28"/>
          <w:lang w:val="uk-UA"/>
        </w:rPr>
      </w:pPr>
    </w:p>
    <w:p w:rsidR="009D5488" w:rsidRDefault="009D5488" w:rsidP="009D5488">
      <w:pPr>
        <w:rPr>
          <w:sz w:val="28"/>
          <w:lang w:val="uk-UA"/>
        </w:rPr>
      </w:pPr>
    </w:p>
    <w:p w:rsidR="009D5488" w:rsidRPr="00E5325F" w:rsidRDefault="009D5488" w:rsidP="009D5488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9D5488" w:rsidRPr="001660AA" w:rsidTr="009D5488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5488" w:rsidRPr="009C7F34" w:rsidRDefault="009D5488" w:rsidP="007C6CA9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C7F34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погодження технічної </w:t>
            </w:r>
            <w:proofErr w:type="spellStart"/>
            <w:r>
              <w:rPr>
                <w:sz w:val="28"/>
                <w:szCs w:val="28"/>
                <w:lang w:val="uk-UA"/>
              </w:rPr>
              <w:t>доку-ментації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із землеустрою щодо поділу та об’єднання земельних ділянок</w:t>
            </w:r>
          </w:p>
        </w:tc>
      </w:tr>
    </w:tbl>
    <w:p w:rsidR="009D5488" w:rsidRDefault="009D5488" w:rsidP="009D5488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D5488" w:rsidRPr="00E5325F" w:rsidRDefault="009D5488" w:rsidP="009D5488">
      <w:pPr>
        <w:rPr>
          <w:lang w:val="uk-UA"/>
        </w:rPr>
      </w:pPr>
    </w:p>
    <w:p w:rsidR="009D5488" w:rsidRPr="00ED59E5" w:rsidRDefault="009D5488" w:rsidP="009D5488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На підста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ві статей 6, 21, 39 Закону України “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ні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79-1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, 122, 1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86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статті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56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кону України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землеустрій”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, розглянувши клопотання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ТДВ “Хмельниць</w:t>
      </w:r>
      <w:r w:rsidR="00710E86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>
        <w:rPr>
          <w:rFonts w:ascii="Times New Roman" w:hAnsi="Times New Roman"/>
          <w:color w:val="auto"/>
          <w:sz w:val="28"/>
          <w:szCs w:val="28"/>
          <w:lang w:val="uk-UA"/>
        </w:rPr>
        <w:t>кий завод будівельних матеріалів”, зареєстроване в облдержадмі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  <w:t>ністрації 02.07.2015 року за № 99/4434-11-42/2015,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ED59E5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9D5488" w:rsidRPr="009C7F34" w:rsidRDefault="009D5488" w:rsidP="009D5488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C7F34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>годити Товариству з додатковою відповідальністю “Хмельницький завод будівельних матеріалів” технічну документацію із землеустрою щодо поділу та об’єднання земельних ділянок</w:t>
      </w:r>
      <w:r w:rsidRPr="009C7F34">
        <w:rPr>
          <w:sz w:val="28"/>
          <w:szCs w:val="28"/>
          <w:lang w:val="uk-UA"/>
        </w:rPr>
        <w:t>, розташован</w:t>
      </w:r>
      <w:r>
        <w:rPr>
          <w:sz w:val="28"/>
          <w:szCs w:val="28"/>
          <w:lang w:val="uk-UA"/>
        </w:rPr>
        <w:t>их</w:t>
      </w:r>
      <w:r w:rsidRPr="009C7F3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Скаржинецької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Ярмолинецького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9C7F34">
        <w:rPr>
          <w:sz w:val="28"/>
          <w:szCs w:val="28"/>
          <w:lang w:val="uk-UA"/>
        </w:rPr>
        <w:t xml:space="preserve">району, </w:t>
      </w:r>
      <w:r>
        <w:rPr>
          <w:sz w:val="28"/>
          <w:szCs w:val="28"/>
          <w:lang w:val="uk-UA"/>
        </w:rPr>
        <w:t xml:space="preserve">наданих із земель промисловості, транспорту, зв’язку, енергетики, оборони та іншого призначення для розміщення та експлуатації основних, підсобних і допоміжних будівель і споруд підприємствами, що пов’язані з користуванням надрами (кадастрові номери земельних ділянок: 6825886400:04:023:0207, </w:t>
      </w:r>
      <w:r w:rsidR="007C6CA9">
        <w:rPr>
          <w:sz w:val="28"/>
          <w:szCs w:val="28"/>
          <w:lang w:val="uk-UA"/>
        </w:rPr>
        <w:t>6825886400:04:023:0208).</w:t>
      </w:r>
    </w:p>
    <w:p w:rsidR="009D5488" w:rsidRPr="009C7F34" w:rsidRDefault="007C6CA9" w:rsidP="009D5488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D5488">
        <w:rPr>
          <w:sz w:val="28"/>
          <w:szCs w:val="28"/>
          <w:lang w:val="uk-UA"/>
        </w:rPr>
        <w:t>. </w:t>
      </w:r>
      <w:r w:rsidR="009D5488" w:rsidRPr="009C7F34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="009D5488" w:rsidRPr="009C7F34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="009D5488" w:rsidRPr="009C7F34">
        <w:rPr>
          <w:sz w:val="28"/>
          <w:szCs w:val="28"/>
          <w:lang w:val="uk-UA"/>
        </w:rPr>
        <w:t>.</w:t>
      </w:r>
    </w:p>
    <w:p w:rsidR="009D5488" w:rsidRPr="00E5325F" w:rsidRDefault="009D5488" w:rsidP="009D5488">
      <w:pPr>
        <w:tabs>
          <w:tab w:val="left" w:pos="0"/>
        </w:tabs>
        <w:rPr>
          <w:sz w:val="28"/>
          <w:lang w:val="uk-UA"/>
        </w:rPr>
      </w:pPr>
    </w:p>
    <w:p w:rsidR="009D5488" w:rsidRPr="009C7F34" w:rsidRDefault="009D5488" w:rsidP="009D5488">
      <w:pPr>
        <w:jc w:val="both"/>
        <w:rPr>
          <w:color w:val="000000"/>
          <w:sz w:val="28"/>
          <w:szCs w:val="28"/>
          <w:lang w:val="uk-UA"/>
        </w:rPr>
      </w:pPr>
    </w:p>
    <w:p w:rsidR="009D5488" w:rsidRPr="009C7F34" w:rsidRDefault="009D5488" w:rsidP="009D548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Pr="009C7F34">
        <w:rPr>
          <w:color w:val="000000"/>
          <w:sz w:val="28"/>
          <w:szCs w:val="28"/>
          <w:lang w:val="uk-UA"/>
        </w:rPr>
        <w:t>Загородний</w:t>
      </w:r>
    </w:p>
    <w:sectPr w:rsidR="009D5488" w:rsidRPr="009C7F34" w:rsidSect="007C6CA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35"/>
    <w:rsid w:val="001660AA"/>
    <w:rsid w:val="001925DB"/>
    <w:rsid w:val="00292535"/>
    <w:rsid w:val="003E5737"/>
    <w:rsid w:val="004812C5"/>
    <w:rsid w:val="00710E86"/>
    <w:rsid w:val="00751770"/>
    <w:rsid w:val="007C6CA9"/>
    <w:rsid w:val="00862294"/>
    <w:rsid w:val="008B0330"/>
    <w:rsid w:val="009D5488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48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D548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9D5488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9D5488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710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48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D548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9D5488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9D5488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71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2015-07-10T12:40:00Z</cp:lastPrinted>
  <dcterms:created xsi:type="dcterms:W3CDTF">2015-07-15T13:04:00Z</dcterms:created>
  <dcterms:modified xsi:type="dcterms:W3CDTF">2015-07-15T13:46:00Z</dcterms:modified>
</cp:coreProperties>
</file>