
<file path=[Content_Types].xml><?xml version="1.0" encoding="utf-8"?>
<Types xmlns="http://schemas.openxmlformats.org/package/2006/content-types">
  <Default Extension="jpeg" ContentType="image/jpeg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C19" w:rsidRDefault="00B76C19" w:rsidP="00B76C19">
      <w:pPr>
        <w:rPr>
          <w:rFonts w:ascii="Times New Roman" w:hAnsi="Times New Roman" w:cs="Times New Roman"/>
          <w:b/>
          <w:sz w:val="28"/>
          <w:szCs w:val="28"/>
        </w:rPr>
      </w:pPr>
      <w:r w:rsidRPr="00B76C19">
        <w:rPr>
          <w:rFonts w:ascii="Calibri" w:eastAsia="Calibri" w:hAnsi="Calibri" w:cs="Times New Roman"/>
          <w:noProof/>
          <w:lang w:val="ru-RU" w:eastAsia="ru-RU"/>
        </w:rPr>
        <w:drawing>
          <wp:inline distT="0" distB="0" distL="0" distR="0">
            <wp:extent cx="6659880" cy="1301461"/>
            <wp:effectExtent l="0" t="0" r="7620" b="0"/>
            <wp:docPr id="4" name="Рисунок 4" descr="C:\Users\o_paziak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_paziak\Desktop\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1301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0DCA" w:rsidRPr="00B76C19" w:rsidRDefault="008E0DCA" w:rsidP="00B76C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6C19">
        <w:rPr>
          <w:rFonts w:ascii="Times New Roman" w:hAnsi="Times New Roman" w:cs="Times New Roman"/>
          <w:b/>
          <w:sz w:val="28"/>
          <w:szCs w:val="28"/>
        </w:rPr>
        <w:t>Аналіз надходження доходів місцевих бюджетів ОТГ Хмельницької області  за І квартал 2016 року</w:t>
      </w:r>
      <w:r w:rsidR="00B76C19" w:rsidRPr="00B76C19">
        <w:rPr>
          <w:rFonts w:ascii="Times New Roman" w:hAnsi="Times New Roman" w:cs="Times New Roman"/>
          <w:b/>
          <w:sz w:val="28"/>
          <w:szCs w:val="28"/>
        </w:rPr>
        <w:t xml:space="preserve"> (розроблений експертами Офісу реформ в Хмельницькій </w:t>
      </w:r>
      <w:bookmarkStart w:id="0" w:name="_GoBack"/>
      <w:bookmarkEnd w:id="0"/>
      <w:r w:rsidR="00B76C19" w:rsidRPr="00B76C19">
        <w:rPr>
          <w:rFonts w:ascii="Times New Roman" w:hAnsi="Times New Roman" w:cs="Times New Roman"/>
          <w:b/>
          <w:sz w:val="28"/>
          <w:szCs w:val="28"/>
        </w:rPr>
        <w:t>області)</w:t>
      </w:r>
    </w:p>
    <w:p w:rsidR="0081486D" w:rsidRDefault="00AC6CE3">
      <w:r>
        <w:rPr>
          <w:noProof/>
          <w:lang w:val="ru-RU" w:eastAsia="ru-RU"/>
        </w:rPr>
        <w:drawing>
          <wp:inline distT="0" distB="0" distL="0" distR="0">
            <wp:extent cx="6905625" cy="4933950"/>
            <wp:effectExtent l="0" t="0" r="9525" b="19050"/>
            <wp:docPr id="1" name="Діагра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9F75AD" w:rsidRPr="00B76C19" w:rsidRDefault="001F4624" w:rsidP="00B76C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C19">
        <w:rPr>
          <w:rFonts w:ascii="Times New Roman" w:hAnsi="Times New Roman" w:cs="Times New Roman"/>
          <w:sz w:val="28"/>
          <w:szCs w:val="28"/>
        </w:rPr>
        <w:t>Рисунок 1 – Порівняльний аналіз доходів загального фонду</w:t>
      </w:r>
      <w:r w:rsidR="00E40ECC" w:rsidRPr="00B76C19">
        <w:rPr>
          <w:rFonts w:ascii="Times New Roman" w:hAnsi="Times New Roman" w:cs="Times New Roman"/>
          <w:sz w:val="28"/>
          <w:szCs w:val="28"/>
        </w:rPr>
        <w:t xml:space="preserve"> ОТГ Хмельницької області</w:t>
      </w:r>
      <w:r w:rsidR="000118F4" w:rsidRPr="00B76C19">
        <w:rPr>
          <w:rFonts w:ascii="Times New Roman" w:hAnsi="Times New Roman" w:cs="Times New Roman"/>
          <w:sz w:val="28"/>
          <w:szCs w:val="28"/>
        </w:rPr>
        <w:t xml:space="preserve"> за перший квартал 2015 та 2016</w:t>
      </w:r>
      <w:r w:rsidRPr="00B76C19">
        <w:rPr>
          <w:rFonts w:ascii="Times New Roman" w:hAnsi="Times New Roman" w:cs="Times New Roman"/>
          <w:sz w:val="28"/>
          <w:szCs w:val="28"/>
        </w:rPr>
        <w:t xml:space="preserve"> років</w:t>
      </w:r>
    </w:p>
    <w:p w:rsidR="00FF5896" w:rsidRPr="00B76C19" w:rsidRDefault="00E41478" w:rsidP="00B76C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C19">
        <w:rPr>
          <w:rFonts w:ascii="Times New Roman" w:hAnsi="Times New Roman" w:cs="Times New Roman"/>
          <w:sz w:val="28"/>
          <w:szCs w:val="28"/>
        </w:rPr>
        <w:t xml:space="preserve">На рисунку 1 графічно відображено данні що характеризують фактичні надходження до загального фонду за перший квартал в 2015 та 2016 роках та </w:t>
      </w:r>
      <w:r w:rsidR="00683BB0" w:rsidRPr="00B76C19">
        <w:rPr>
          <w:rFonts w:ascii="Times New Roman" w:hAnsi="Times New Roman" w:cs="Times New Roman"/>
          <w:sz w:val="28"/>
          <w:szCs w:val="28"/>
        </w:rPr>
        <w:t xml:space="preserve"> надходження до загального фонду згідно планового показника. Порівняльний аналіз свідчить, що фактичні надходження до загального фонду</w:t>
      </w:r>
      <w:r w:rsidR="00FF5896" w:rsidRPr="00B76C19">
        <w:rPr>
          <w:rFonts w:ascii="Times New Roman" w:hAnsi="Times New Roman" w:cs="Times New Roman"/>
          <w:sz w:val="28"/>
          <w:szCs w:val="28"/>
        </w:rPr>
        <w:t xml:space="preserve">у всіх </w:t>
      </w:r>
      <w:r w:rsidR="00E40ECC" w:rsidRPr="00B76C19">
        <w:rPr>
          <w:rFonts w:ascii="Times New Roman" w:hAnsi="Times New Roman" w:cs="Times New Roman"/>
          <w:sz w:val="28"/>
          <w:szCs w:val="28"/>
        </w:rPr>
        <w:t xml:space="preserve">ОТГ Хмельницької області перевищують як фактичні  надходження у 2015 році, так і планові показники на 2016 рік. </w:t>
      </w:r>
    </w:p>
    <w:p w:rsidR="00FF5896" w:rsidRDefault="00FF5896" w:rsidP="00B76C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C19">
        <w:rPr>
          <w:rFonts w:ascii="Times New Roman" w:hAnsi="Times New Roman" w:cs="Times New Roman"/>
          <w:sz w:val="28"/>
          <w:szCs w:val="28"/>
        </w:rPr>
        <w:t>Як видно із графіка сім ОТГ (</w:t>
      </w:r>
      <w:proofErr w:type="spellStart"/>
      <w:r w:rsidRPr="00B76C19">
        <w:rPr>
          <w:rFonts w:ascii="Times New Roman" w:hAnsi="Times New Roman" w:cs="Times New Roman"/>
          <w:sz w:val="28"/>
          <w:szCs w:val="28"/>
        </w:rPr>
        <w:t>Ганопільська</w:t>
      </w:r>
      <w:proofErr w:type="spellEnd"/>
      <w:r w:rsidRPr="00B76C19">
        <w:rPr>
          <w:rFonts w:ascii="Times New Roman" w:hAnsi="Times New Roman" w:cs="Times New Roman"/>
          <w:sz w:val="28"/>
          <w:szCs w:val="28"/>
        </w:rPr>
        <w:t xml:space="preserve"> сільська, </w:t>
      </w:r>
      <w:proofErr w:type="spellStart"/>
      <w:r w:rsidRPr="00B76C19">
        <w:rPr>
          <w:rFonts w:ascii="Times New Roman" w:hAnsi="Times New Roman" w:cs="Times New Roman"/>
          <w:sz w:val="28"/>
          <w:szCs w:val="28"/>
        </w:rPr>
        <w:t>Дунаєвецька</w:t>
      </w:r>
      <w:proofErr w:type="spellEnd"/>
      <w:r w:rsidRPr="00B76C19">
        <w:rPr>
          <w:rFonts w:ascii="Times New Roman" w:hAnsi="Times New Roman" w:cs="Times New Roman"/>
          <w:sz w:val="28"/>
          <w:szCs w:val="28"/>
        </w:rPr>
        <w:t xml:space="preserve"> міська, </w:t>
      </w:r>
      <w:proofErr w:type="spellStart"/>
      <w:r w:rsidRPr="00B76C19">
        <w:rPr>
          <w:rFonts w:ascii="Times New Roman" w:hAnsi="Times New Roman" w:cs="Times New Roman"/>
          <w:sz w:val="28"/>
          <w:szCs w:val="28"/>
        </w:rPr>
        <w:t>дунаєвецька</w:t>
      </w:r>
      <w:proofErr w:type="spellEnd"/>
      <w:r w:rsidRPr="00B76C19">
        <w:rPr>
          <w:rFonts w:ascii="Times New Roman" w:hAnsi="Times New Roman" w:cs="Times New Roman"/>
          <w:sz w:val="28"/>
          <w:szCs w:val="28"/>
        </w:rPr>
        <w:t xml:space="preserve"> селищна, </w:t>
      </w:r>
      <w:proofErr w:type="spellStart"/>
      <w:r w:rsidRPr="00B76C19">
        <w:rPr>
          <w:rFonts w:ascii="Times New Roman" w:hAnsi="Times New Roman" w:cs="Times New Roman"/>
          <w:sz w:val="28"/>
          <w:szCs w:val="28"/>
        </w:rPr>
        <w:t>Китайнородська</w:t>
      </w:r>
      <w:proofErr w:type="spellEnd"/>
      <w:r w:rsidRPr="00B76C19">
        <w:rPr>
          <w:rFonts w:ascii="Times New Roman" w:hAnsi="Times New Roman" w:cs="Times New Roman"/>
          <w:sz w:val="28"/>
          <w:szCs w:val="28"/>
        </w:rPr>
        <w:t xml:space="preserve"> сільська, </w:t>
      </w:r>
      <w:proofErr w:type="spellStart"/>
      <w:r w:rsidRPr="00B76C19">
        <w:rPr>
          <w:rFonts w:ascii="Times New Roman" w:hAnsi="Times New Roman" w:cs="Times New Roman"/>
          <w:sz w:val="28"/>
          <w:szCs w:val="28"/>
        </w:rPr>
        <w:t>Лісогринівецька</w:t>
      </w:r>
      <w:proofErr w:type="spellEnd"/>
      <w:r w:rsidRPr="00B76C19">
        <w:rPr>
          <w:rFonts w:ascii="Times New Roman" w:hAnsi="Times New Roman" w:cs="Times New Roman"/>
          <w:sz w:val="28"/>
          <w:szCs w:val="28"/>
        </w:rPr>
        <w:t xml:space="preserve"> сільська, </w:t>
      </w:r>
      <w:proofErr w:type="spellStart"/>
      <w:r w:rsidRPr="00B76C19">
        <w:rPr>
          <w:rFonts w:ascii="Times New Roman" w:hAnsi="Times New Roman" w:cs="Times New Roman"/>
          <w:sz w:val="28"/>
          <w:szCs w:val="28"/>
        </w:rPr>
        <w:t>Меджибізька</w:t>
      </w:r>
      <w:proofErr w:type="spellEnd"/>
      <w:r w:rsidRPr="00B76C19">
        <w:rPr>
          <w:rFonts w:ascii="Times New Roman" w:hAnsi="Times New Roman" w:cs="Times New Roman"/>
          <w:sz w:val="28"/>
          <w:szCs w:val="28"/>
        </w:rPr>
        <w:t xml:space="preserve"> селищна, </w:t>
      </w:r>
      <w:proofErr w:type="spellStart"/>
      <w:r w:rsidRPr="00B76C19">
        <w:rPr>
          <w:rFonts w:ascii="Times New Roman" w:hAnsi="Times New Roman" w:cs="Times New Roman"/>
          <w:sz w:val="28"/>
          <w:szCs w:val="28"/>
        </w:rPr>
        <w:t>Наркевицька</w:t>
      </w:r>
      <w:proofErr w:type="spellEnd"/>
      <w:r w:rsidRPr="00B76C19">
        <w:rPr>
          <w:rFonts w:ascii="Times New Roman" w:hAnsi="Times New Roman" w:cs="Times New Roman"/>
          <w:sz w:val="28"/>
          <w:szCs w:val="28"/>
        </w:rPr>
        <w:t xml:space="preserve"> селищна та </w:t>
      </w:r>
      <w:proofErr w:type="spellStart"/>
      <w:r w:rsidRPr="00B76C19">
        <w:rPr>
          <w:rFonts w:ascii="Times New Roman" w:hAnsi="Times New Roman" w:cs="Times New Roman"/>
          <w:sz w:val="28"/>
          <w:szCs w:val="28"/>
        </w:rPr>
        <w:t>Новоушицька</w:t>
      </w:r>
      <w:proofErr w:type="spellEnd"/>
      <w:r w:rsidRPr="00B76C19">
        <w:rPr>
          <w:rFonts w:ascii="Times New Roman" w:hAnsi="Times New Roman" w:cs="Times New Roman"/>
          <w:sz w:val="28"/>
          <w:szCs w:val="28"/>
        </w:rPr>
        <w:t xml:space="preserve"> селищна ОТГ) були досить обережними при формування планових показників надходження  коштів до </w:t>
      </w:r>
      <w:r w:rsidRPr="00B76C19">
        <w:rPr>
          <w:rFonts w:ascii="Times New Roman" w:hAnsi="Times New Roman" w:cs="Times New Roman"/>
          <w:sz w:val="28"/>
          <w:szCs w:val="28"/>
        </w:rPr>
        <w:lastRenderedPageBreak/>
        <w:t>бюджету, тому вони у порівняні із фактичними показниками за 2015 рік є нижчі. Така ситуація підкреслює переваги  та позитивні наслідки  реформи органів місцев</w:t>
      </w:r>
      <w:r w:rsidR="00EB22E7" w:rsidRPr="00B76C19">
        <w:rPr>
          <w:rFonts w:ascii="Times New Roman" w:hAnsi="Times New Roman" w:cs="Times New Roman"/>
          <w:sz w:val="28"/>
          <w:szCs w:val="28"/>
        </w:rPr>
        <w:t xml:space="preserve">ого самоврядування та свідчить про зростання можливостей громади ефективно вирішувати соціальні, економічні проблеми, реалізовувати проекти націлені на розвиток </w:t>
      </w:r>
      <w:r w:rsidR="00B76C19" w:rsidRPr="00B76C19">
        <w:rPr>
          <w:rFonts w:ascii="Times New Roman" w:hAnsi="Times New Roman" w:cs="Times New Roman"/>
          <w:sz w:val="28"/>
          <w:szCs w:val="28"/>
        </w:rPr>
        <w:t>інфраструктури</w:t>
      </w:r>
      <w:r w:rsidR="00EB22E7" w:rsidRPr="00B76C19">
        <w:rPr>
          <w:rFonts w:ascii="Times New Roman" w:hAnsi="Times New Roman" w:cs="Times New Roman"/>
          <w:sz w:val="28"/>
          <w:szCs w:val="28"/>
        </w:rPr>
        <w:t xml:space="preserve"> громади.</w:t>
      </w:r>
    </w:p>
    <w:p w:rsidR="00B76C19" w:rsidRDefault="00B76C19" w:rsidP="00B76C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6C19" w:rsidRPr="00B76C19" w:rsidRDefault="00B76C19" w:rsidP="00B76C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75AD" w:rsidRDefault="009F75AD">
      <w:r>
        <w:rPr>
          <w:noProof/>
          <w:lang w:val="ru-RU" w:eastAsia="ru-RU"/>
        </w:rPr>
        <w:drawing>
          <wp:inline distT="0" distB="0" distL="0" distR="0">
            <wp:extent cx="6657975" cy="5276850"/>
            <wp:effectExtent l="0" t="0" r="9525" b="19050"/>
            <wp:docPr id="3" name="Діагра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EB22E7" w:rsidRPr="00B76C19" w:rsidRDefault="00EB22E7" w:rsidP="00B76C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C19">
        <w:rPr>
          <w:rFonts w:ascii="Times New Roman" w:hAnsi="Times New Roman" w:cs="Times New Roman"/>
          <w:sz w:val="28"/>
          <w:szCs w:val="28"/>
        </w:rPr>
        <w:t>Рисунок 2 – Порівняльний аналіз надходжень до бюджету ОТГ Хмельницької області за перший квартал 201</w:t>
      </w:r>
      <w:r w:rsidR="000118F4" w:rsidRPr="00B76C19">
        <w:rPr>
          <w:rFonts w:ascii="Times New Roman" w:hAnsi="Times New Roman" w:cs="Times New Roman"/>
          <w:sz w:val="28"/>
          <w:szCs w:val="28"/>
        </w:rPr>
        <w:t>5 та 2016</w:t>
      </w:r>
      <w:r w:rsidRPr="00B76C19">
        <w:rPr>
          <w:rFonts w:ascii="Times New Roman" w:hAnsi="Times New Roman" w:cs="Times New Roman"/>
          <w:sz w:val="28"/>
          <w:szCs w:val="28"/>
        </w:rPr>
        <w:t xml:space="preserve"> років в частині податку на доходи фізичних осіб</w:t>
      </w:r>
    </w:p>
    <w:p w:rsidR="00EB22E7" w:rsidRPr="00B76C19" w:rsidRDefault="00EB22E7" w:rsidP="00B76C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C19">
        <w:rPr>
          <w:rFonts w:ascii="Times New Roman" w:hAnsi="Times New Roman" w:cs="Times New Roman"/>
          <w:sz w:val="28"/>
          <w:szCs w:val="28"/>
        </w:rPr>
        <w:t>Графічне відображення фактичних надходжень податку на доходи фізичних осіб  до бюджетів ОТГ в Хмельницькій області в порівняні з плановими показниками та  показниками за аналогічний період  2015 року також має тенденцію до зростання.</w:t>
      </w:r>
      <w:r w:rsidR="00F60214" w:rsidRPr="00B76C19">
        <w:rPr>
          <w:rFonts w:ascii="Times New Roman" w:hAnsi="Times New Roman" w:cs="Times New Roman"/>
          <w:sz w:val="28"/>
          <w:szCs w:val="28"/>
        </w:rPr>
        <w:t xml:space="preserve"> Водночас вісім ОТГ мали низьку впевненість  не лише у тому, що надходження від цього податку можуть перевищити плановий показник, а й в тому що вони досягнуть показників 2015 року.  </w:t>
      </w:r>
    </w:p>
    <w:p w:rsidR="00F60214" w:rsidRPr="00B76C19" w:rsidRDefault="009C50F6" w:rsidP="00B76C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C19">
        <w:rPr>
          <w:rFonts w:ascii="Times New Roman" w:hAnsi="Times New Roman" w:cs="Times New Roman"/>
          <w:sz w:val="28"/>
          <w:szCs w:val="28"/>
        </w:rPr>
        <w:t xml:space="preserve">Нижче подані графіки надходження  доходів до місцевих бюджетів ОТГ Хмельницької області у частинах загального фонду та податку на доходи фізичних осіб. Аналізувались та порівнювались 3 критерії кількість доходів: які фактично надходило станом на 01.04.2015; які затверджені місцевими радами на січень-березень 2016; які фактично надійшли станом на 01.04.2016. На графіку чітко маємо змогу </w:t>
      </w:r>
      <w:r w:rsidRPr="00B76C19">
        <w:rPr>
          <w:rFonts w:ascii="Times New Roman" w:hAnsi="Times New Roman" w:cs="Times New Roman"/>
          <w:sz w:val="28"/>
          <w:szCs w:val="28"/>
        </w:rPr>
        <w:lastRenderedPageBreak/>
        <w:t xml:space="preserve">спостерігати суттєвий приріст доходів на 01.04.2016 в ОТГ, як в частині загального фонду, так і в частині податку на доходу фізичних осіб над іншими двома критеріями. </w:t>
      </w:r>
    </w:p>
    <w:p w:rsidR="00F60214" w:rsidRPr="00B76C19" w:rsidRDefault="009C50F6" w:rsidP="00B76C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C19">
        <w:rPr>
          <w:rFonts w:ascii="Times New Roman" w:hAnsi="Times New Roman" w:cs="Times New Roman"/>
          <w:sz w:val="28"/>
          <w:szCs w:val="28"/>
        </w:rPr>
        <w:t xml:space="preserve"> Звичайно </w:t>
      </w:r>
      <w:r w:rsidR="00F60214" w:rsidRPr="00B76C19">
        <w:rPr>
          <w:rFonts w:ascii="Times New Roman" w:hAnsi="Times New Roman" w:cs="Times New Roman"/>
          <w:sz w:val="28"/>
          <w:szCs w:val="28"/>
        </w:rPr>
        <w:t xml:space="preserve">розміри доходів громад </w:t>
      </w:r>
      <w:r w:rsidRPr="00B76C19">
        <w:rPr>
          <w:rFonts w:ascii="Times New Roman" w:hAnsi="Times New Roman" w:cs="Times New Roman"/>
          <w:sz w:val="28"/>
          <w:szCs w:val="28"/>
        </w:rPr>
        <w:t xml:space="preserve"> відрізняються і їх порівнювати </w:t>
      </w:r>
      <w:r w:rsidR="00F60214" w:rsidRPr="00B76C19">
        <w:rPr>
          <w:rFonts w:ascii="Times New Roman" w:hAnsi="Times New Roman" w:cs="Times New Roman"/>
          <w:sz w:val="28"/>
          <w:szCs w:val="28"/>
        </w:rPr>
        <w:t xml:space="preserve">між собою не доцільно, проте графічне відображення показників яскравим прикладом переваг </w:t>
      </w:r>
      <w:r w:rsidRPr="00B76C19">
        <w:rPr>
          <w:rFonts w:ascii="Times New Roman" w:hAnsi="Times New Roman" w:cs="Times New Roman"/>
          <w:sz w:val="28"/>
          <w:szCs w:val="28"/>
        </w:rPr>
        <w:t xml:space="preserve"> бюджетної децентралізації</w:t>
      </w:r>
      <w:r w:rsidR="000118F4" w:rsidRPr="00B76C19">
        <w:rPr>
          <w:rFonts w:ascii="Times New Roman" w:hAnsi="Times New Roman" w:cs="Times New Roman"/>
          <w:sz w:val="28"/>
          <w:szCs w:val="28"/>
        </w:rPr>
        <w:t>, яка дозволила збільшити надходження до загального фонду в 2016 році на 56, 6%.</w:t>
      </w:r>
    </w:p>
    <w:p w:rsidR="00D40714" w:rsidRPr="00B76C19" w:rsidRDefault="00D40714" w:rsidP="00B76C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40714" w:rsidRPr="00B76C19" w:rsidSect="007C701D">
      <w:pgSz w:w="11906" w:h="16838" w:code="9"/>
      <w:pgMar w:top="397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D6F79"/>
    <w:rsid w:val="000118F4"/>
    <w:rsid w:val="001F4624"/>
    <w:rsid w:val="00323721"/>
    <w:rsid w:val="00397334"/>
    <w:rsid w:val="004C1982"/>
    <w:rsid w:val="004D6F79"/>
    <w:rsid w:val="00541DB0"/>
    <w:rsid w:val="00683BB0"/>
    <w:rsid w:val="006A5BA4"/>
    <w:rsid w:val="007C701D"/>
    <w:rsid w:val="0081486D"/>
    <w:rsid w:val="008E0DCA"/>
    <w:rsid w:val="009C50F6"/>
    <w:rsid w:val="009F75AD"/>
    <w:rsid w:val="00AC6CE3"/>
    <w:rsid w:val="00B76C19"/>
    <w:rsid w:val="00BA1837"/>
    <w:rsid w:val="00D40714"/>
    <w:rsid w:val="00E40ECC"/>
    <w:rsid w:val="00E41478"/>
    <w:rsid w:val="00EB22E7"/>
    <w:rsid w:val="00F60214"/>
    <w:rsid w:val="00FF5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7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6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6C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6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C6C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lang="uk-UA"/>
            </a:pPr>
            <a:r>
              <a:rPr lang="uk-UA"/>
              <a:t>Аналіз</a:t>
            </a:r>
            <a:r>
              <a:rPr lang="uk-UA" baseline="0"/>
              <a:t> надходження доходів місцевих бюджетів ОТГ Хмельницької області у частині загального фонду</a:t>
            </a:r>
            <a:endParaRPr lang="uk-UA"/>
          </a:p>
        </c:rich>
      </c:tx>
    </c:title>
    <c:view3D>
      <c:rAngAx val="1"/>
    </c:view3D>
    <c:plotArea>
      <c:layout>
        <c:manualLayout>
          <c:layoutTarget val="inner"/>
          <c:xMode val="edge"/>
          <c:yMode val="edge"/>
          <c:x val="6.6438302108788108E-2"/>
          <c:y val="0.14923348867105904"/>
          <c:w val="0.76319449723956967"/>
          <c:h val="0.50246364774023455"/>
        </c:manualLayout>
      </c:layout>
      <c:bar3DChart>
        <c:barDir val="col"/>
        <c:grouping val="clustered"/>
        <c:ser>
          <c:idx val="0"/>
          <c:order val="0"/>
          <c:tx>
            <c:strRef>
              <c:f>Аркуш1!$B$1</c:f>
              <c:strCache>
                <c:ptCount val="1"/>
                <c:pt idx="0">
                  <c:v>Фактично надійшло станом на 01.04.2015</c:v>
                </c:pt>
              </c:strCache>
            </c:strRef>
          </c:tx>
          <c:cat>
            <c:strRef>
              <c:f>Аркуш1!$A$2:$A$23</c:f>
              <c:strCache>
                <c:ptCount val="22"/>
                <c:pt idx="0">
                  <c:v>Берездівська сільська ОТГ</c:v>
                </c:pt>
                <c:pt idx="1">
                  <c:v>Війтовецька селищна ОТГ</c:v>
                </c:pt>
                <c:pt idx="2">
                  <c:v>Волочиська міська ОТГ</c:v>
                </c:pt>
                <c:pt idx="3">
                  <c:v>Ганнопільська сільська ОТГ</c:v>
                </c:pt>
                <c:pt idx="4">
                  <c:v>Гвардійська сільська ОТГ</c:v>
                </c:pt>
                <c:pt idx="5">
                  <c:v>Гуменецька сільська ОТГ</c:v>
                </c:pt>
                <c:pt idx="6">
                  <c:v>Дунаєвецька міська ОТГ</c:v>
                </c:pt>
                <c:pt idx="7">
                  <c:v>Дунаєвецька селищна ОТГ</c:v>
                </c:pt>
                <c:pt idx="8">
                  <c:v>Китайгородська сільська ОТГ</c:v>
                </c:pt>
                <c:pt idx="9">
                  <c:v>Колибаївська сільська ОТГ</c:v>
                </c:pt>
                <c:pt idx="10">
                  <c:v>Летичівська селищна ОТГ</c:v>
                </c:pt>
                <c:pt idx="11">
                  <c:v>Лісовогринівецька сільська ОТГ</c:v>
                </c:pt>
                <c:pt idx="12">
                  <c:v>Маківська сільська ОТГ</c:v>
                </c:pt>
                <c:pt idx="13">
                  <c:v>Меджибізька селищна ОТГ</c:v>
                </c:pt>
                <c:pt idx="14">
                  <c:v>Наркевицька селищна ОТГ</c:v>
                </c:pt>
                <c:pt idx="15">
                  <c:v>Новоушицька селищна ОТГ</c:v>
                </c:pt>
                <c:pt idx="16">
                  <c:v>Полонська міська ОТГ</c:v>
                </c:pt>
                <c:pt idx="17">
                  <c:v>Понінківська селищна ОТГ</c:v>
                </c:pt>
                <c:pt idx="18">
                  <c:v>Розсошанська сільська ОТГ</c:v>
                </c:pt>
                <c:pt idx="19">
                  <c:v>Сатанівська селищна ОТГ</c:v>
                </c:pt>
                <c:pt idx="20">
                  <c:v>Старосинявська селищна ОТГ</c:v>
                </c:pt>
                <c:pt idx="21">
                  <c:v>Чорноострівська селищна ОТГ</c:v>
                </c:pt>
              </c:strCache>
            </c:strRef>
          </c:cat>
          <c:val>
            <c:numRef>
              <c:f>Аркуш1!$B$2:$B$23</c:f>
              <c:numCache>
                <c:formatCode>General</c:formatCode>
                <c:ptCount val="22"/>
                <c:pt idx="0">
                  <c:v>1197.5999999999999</c:v>
                </c:pt>
                <c:pt idx="1">
                  <c:v>1488.2</c:v>
                </c:pt>
                <c:pt idx="2">
                  <c:v>10340.9</c:v>
                </c:pt>
                <c:pt idx="3">
                  <c:v>911.3</c:v>
                </c:pt>
                <c:pt idx="4">
                  <c:v>1283.9000000000001</c:v>
                </c:pt>
                <c:pt idx="5">
                  <c:v>4319.1000000000004</c:v>
                </c:pt>
                <c:pt idx="6">
                  <c:v>7382.7</c:v>
                </c:pt>
                <c:pt idx="7">
                  <c:v>1944.5</c:v>
                </c:pt>
                <c:pt idx="8">
                  <c:v>391.2</c:v>
                </c:pt>
                <c:pt idx="9">
                  <c:v>1096.5999999999999</c:v>
                </c:pt>
                <c:pt idx="10">
                  <c:v>5313.6</c:v>
                </c:pt>
                <c:pt idx="11">
                  <c:v>2168.6</c:v>
                </c:pt>
                <c:pt idx="12">
                  <c:v>819.6</c:v>
                </c:pt>
                <c:pt idx="13">
                  <c:v>1936.9</c:v>
                </c:pt>
                <c:pt idx="14">
                  <c:v>1865.1</c:v>
                </c:pt>
                <c:pt idx="15">
                  <c:v>4416.5</c:v>
                </c:pt>
                <c:pt idx="16">
                  <c:v>5371.8</c:v>
                </c:pt>
                <c:pt idx="17">
                  <c:v>1176.0999999999999</c:v>
                </c:pt>
                <c:pt idx="18">
                  <c:v>1995.3</c:v>
                </c:pt>
                <c:pt idx="19">
                  <c:v>1522.7</c:v>
                </c:pt>
                <c:pt idx="20">
                  <c:v>4087</c:v>
                </c:pt>
                <c:pt idx="21">
                  <c:v>2521.1</c:v>
                </c:pt>
              </c:numCache>
            </c:numRef>
          </c:val>
        </c:ser>
        <c:ser>
          <c:idx val="1"/>
          <c:order val="1"/>
          <c:tx>
            <c:strRef>
              <c:f>Аркуш1!$C$1</c:f>
              <c:strCache>
                <c:ptCount val="1"/>
                <c:pt idx="0">
                  <c:v>Затверджено місцевими радами на січень-березень 2016</c:v>
                </c:pt>
              </c:strCache>
            </c:strRef>
          </c:tx>
          <c:cat>
            <c:strRef>
              <c:f>Аркуш1!$A$2:$A$23</c:f>
              <c:strCache>
                <c:ptCount val="22"/>
                <c:pt idx="0">
                  <c:v>Берездівська сільська ОТГ</c:v>
                </c:pt>
                <c:pt idx="1">
                  <c:v>Війтовецька селищна ОТГ</c:v>
                </c:pt>
                <c:pt idx="2">
                  <c:v>Волочиська міська ОТГ</c:v>
                </c:pt>
                <c:pt idx="3">
                  <c:v>Ганнопільська сільська ОТГ</c:v>
                </c:pt>
                <c:pt idx="4">
                  <c:v>Гвардійська сільська ОТГ</c:v>
                </c:pt>
                <c:pt idx="5">
                  <c:v>Гуменецька сільська ОТГ</c:v>
                </c:pt>
                <c:pt idx="6">
                  <c:v>Дунаєвецька міська ОТГ</c:v>
                </c:pt>
                <c:pt idx="7">
                  <c:v>Дунаєвецька селищна ОТГ</c:v>
                </c:pt>
                <c:pt idx="8">
                  <c:v>Китайгородська сільська ОТГ</c:v>
                </c:pt>
                <c:pt idx="9">
                  <c:v>Колибаївська сільська ОТГ</c:v>
                </c:pt>
                <c:pt idx="10">
                  <c:v>Летичівська селищна ОТГ</c:v>
                </c:pt>
                <c:pt idx="11">
                  <c:v>Лісовогринівецька сільська ОТГ</c:v>
                </c:pt>
                <c:pt idx="12">
                  <c:v>Маківська сільська ОТГ</c:v>
                </c:pt>
                <c:pt idx="13">
                  <c:v>Меджибізька селищна ОТГ</c:v>
                </c:pt>
                <c:pt idx="14">
                  <c:v>Наркевицька селищна ОТГ</c:v>
                </c:pt>
                <c:pt idx="15">
                  <c:v>Новоушицька селищна ОТГ</c:v>
                </c:pt>
                <c:pt idx="16">
                  <c:v>Полонська міська ОТГ</c:v>
                </c:pt>
                <c:pt idx="17">
                  <c:v>Понінківська селищна ОТГ</c:v>
                </c:pt>
                <c:pt idx="18">
                  <c:v>Розсошанська сільська ОТГ</c:v>
                </c:pt>
                <c:pt idx="19">
                  <c:v>Сатанівська селищна ОТГ</c:v>
                </c:pt>
                <c:pt idx="20">
                  <c:v>Старосинявська селищна ОТГ</c:v>
                </c:pt>
                <c:pt idx="21">
                  <c:v>Чорноострівська селищна ОТГ</c:v>
                </c:pt>
              </c:strCache>
            </c:strRef>
          </c:cat>
          <c:val>
            <c:numRef>
              <c:f>Аркуш1!$C$2:$C$23</c:f>
              <c:numCache>
                <c:formatCode>General</c:formatCode>
                <c:ptCount val="22"/>
                <c:pt idx="0">
                  <c:v>1506.5</c:v>
                </c:pt>
                <c:pt idx="1">
                  <c:v>1699.2</c:v>
                </c:pt>
                <c:pt idx="2">
                  <c:v>11026.1</c:v>
                </c:pt>
                <c:pt idx="3">
                  <c:v>644</c:v>
                </c:pt>
                <c:pt idx="4">
                  <c:v>1312.3</c:v>
                </c:pt>
                <c:pt idx="5">
                  <c:v>5377.1</c:v>
                </c:pt>
                <c:pt idx="6">
                  <c:v>6965.2</c:v>
                </c:pt>
                <c:pt idx="7">
                  <c:v>1839.3</c:v>
                </c:pt>
                <c:pt idx="8">
                  <c:v>350.5</c:v>
                </c:pt>
                <c:pt idx="9">
                  <c:v>1365.1</c:v>
                </c:pt>
                <c:pt idx="10">
                  <c:v>5291.6</c:v>
                </c:pt>
                <c:pt idx="11">
                  <c:v>1937.4</c:v>
                </c:pt>
                <c:pt idx="12">
                  <c:v>1018.9</c:v>
                </c:pt>
                <c:pt idx="13">
                  <c:v>1754</c:v>
                </c:pt>
                <c:pt idx="14">
                  <c:v>1541</c:v>
                </c:pt>
                <c:pt idx="15">
                  <c:v>3027</c:v>
                </c:pt>
                <c:pt idx="16">
                  <c:v>5383.1</c:v>
                </c:pt>
                <c:pt idx="17">
                  <c:v>1331.2</c:v>
                </c:pt>
                <c:pt idx="18">
                  <c:v>2664.9</c:v>
                </c:pt>
                <c:pt idx="19">
                  <c:v>2056.6999999999998</c:v>
                </c:pt>
                <c:pt idx="20">
                  <c:v>4510.1000000000004</c:v>
                </c:pt>
                <c:pt idx="21">
                  <c:v>3533.4</c:v>
                </c:pt>
              </c:numCache>
            </c:numRef>
          </c:val>
        </c:ser>
        <c:ser>
          <c:idx val="2"/>
          <c:order val="2"/>
          <c:tx>
            <c:strRef>
              <c:f>Аркуш1!$D$1</c:f>
              <c:strCache>
                <c:ptCount val="1"/>
                <c:pt idx="0">
                  <c:v>Фактично надійшло станом на 01.04.2016</c:v>
                </c:pt>
              </c:strCache>
            </c:strRef>
          </c:tx>
          <c:cat>
            <c:strRef>
              <c:f>Аркуш1!$A$2:$A$23</c:f>
              <c:strCache>
                <c:ptCount val="22"/>
                <c:pt idx="0">
                  <c:v>Берездівська сільська ОТГ</c:v>
                </c:pt>
                <c:pt idx="1">
                  <c:v>Війтовецька селищна ОТГ</c:v>
                </c:pt>
                <c:pt idx="2">
                  <c:v>Волочиська міська ОТГ</c:v>
                </c:pt>
                <c:pt idx="3">
                  <c:v>Ганнопільська сільська ОТГ</c:v>
                </c:pt>
                <c:pt idx="4">
                  <c:v>Гвардійська сільська ОТГ</c:v>
                </c:pt>
                <c:pt idx="5">
                  <c:v>Гуменецька сільська ОТГ</c:v>
                </c:pt>
                <c:pt idx="6">
                  <c:v>Дунаєвецька міська ОТГ</c:v>
                </c:pt>
                <c:pt idx="7">
                  <c:v>Дунаєвецька селищна ОТГ</c:v>
                </c:pt>
                <c:pt idx="8">
                  <c:v>Китайгородська сільська ОТГ</c:v>
                </c:pt>
                <c:pt idx="9">
                  <c:v>Колибаївська сільська ОТГ</c:v>
                </c:pt>
                <c:pt idx="10">
                  <c:v>Летичівська селищна ОТГ</c:v>
                </c:pt>
                <c:pt idx="11">
                  <c:v>Лісовогринівецька сільська ОТГ</c:v>
                </c:pt>
                <c:pt idx="12">
                  <c:v>Маківська сільська ОТГ</c:v>
                </c:pt>
                <c:pt idx="13">
                  <c:v>Меджибізька селищна ОТГ</c:v>
                </c:pt>
                <c:pt idx="14">
                  <c:v>Наркевицька селищна ОТГ</c:v>
                </c:pt>
                <c:pt idx="15">
                  <c:v>Новоушицька селищна ОТГ</c:v>
                </c:pt>
                <c:pt idx="16">
                  <c:v>Полонська міська ОТГ</c:v>
                </c:pt>
                <c:pt idx="17">
                  <c:v>Понінківська селищна ОТГ</c:v>
                </c:pt>
                <c:pt idx="18">
                  <c:v>Розсошанська сільська ОТГ</c:v>
                </c:pt>
                <c:pt idx="19">
                  <c:v>Сатанівська селищна ОТГ</c:v>
                </c:pt>
                <c:pt idx="20">
                  <c:v>Старосинявська селищна ОТГ</c:v>
                </c:pt>
                <c:pt idx="21">
                  <c:v>Чорноострівська селищна ОТГ</c:v>
                </c:pt>
              </c:strCache>
            </c:strRef>
          </c:cat>
          <c:val>
            <c:numRef>
              <c:f>Аркуш1!$D$2:$D$23</c:f>
              <c:numCache>
                <c:formatCode>General</c:formatCode>
                <c:ptCount val="22"/>
                <c:pt idx="0">
                  <c:v>1760.6</c:v>
                </c:pt>
                <c:pt idx="1">
                  <c:v>2706</c:v>
                </c:pt>
                <c:pt idx="2">
                  <c:v>15199.1</c:v>
                </c:pt>
                <c:pt idx="3">
                  <c:v>1473.8</c:v>
                </c:pt>
                <c:pt idx="4">
                  <c:v>1936.6</c:v>
                </c:pt>
                <c:pt idx="5">
                  <c:v>7348.2</c:v>
                </c:pt>
                <c:pt idx="6">
                  <c:v>9996.2000000000007</c:v>
                </c:pt>
                <c:pt idx="7">
                  <c:v>2886.8</c:v>
                </c:pt>
                <c:pt idx="8">
                  <c:v>603.6</c:v>
                </c:pt>
                <c:pt idx="9">
                  <c:v>1749.3</c:v>
                </c:pt>
                <c:pt idx="10">
                  <c:v>6851</c:v>
                </c:pt>
                <c:pt idx="11">
                  <c:v>4030.4</c:v>
                </c:pt>
                <c:pt idx="12">
                  <c:v>1189.2</c:v>
                </c:pt>
                <c:pt idx="13">
                  <c:v>2270.8000000000002</c:v>
                </c:pt>
                <c:pt idx="14">
                  <c:v>3277.7</c:v>
                </c:pt>
                <c:pt idx="15">
                  <c:v>5903</c:v>
                </c:pt>
                <c:pt idx="16">
                  <c:v>8097.9</c:v>
                </c:pt>
                <c:pt idx="17">
                  <c:v>2123.1</c:v>
                </c:pt>
                <c:pt idx="18">
                  <c:v>6938.9</c:v>
                </c:pt>
                <c:pt idx="19">
                  <c:v>3265.2</c:v>
                </c:pt>
                <c:pt idx="20">
                  <c:v>5904</c:v>
                </c:pt>
                <c:pt idx="21">
                  <c:v>4021.4</c:v>
                </c:pt>
              </c:numCache>
            </c:numRef>
          </c:val>
        </c:ser>
        <c:shape val="box"/>
        <c:axId val="82505728"/>
        <c:axId val="82507264"/>
        <c:axId val="0"/>
      </c:bar3DChart>
      <c:catAx>
        <c:axId val="82505728"/>
        <c:scaling>
          <c:orientation val="minMax"/>
        </c:scaling>
        <c:axPos val="b"/>
        <c:tickLblPos val="nextTo"/>
        <c:txPr>
          <a:bodyPr/>
          <a:lstStyle/>
          <a:p>
            <a:pPr>
              <a:defRPr lang="uk-UA"/>
            </a:pPr>
            <a:endParaRPr lang="ru-RU"/>
          </a:p>
        </c:txPr>
        <c:crossAx val="82507264"/>
        <c:crosses val="autoZero"/>
        <c:auto val="1"/>
        <c:lblAlgn val="ctr"/>
        <c:lblOffset val="100"/>
      </c:catAx>
      <c:valAx>
        <c:axId val="82507264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lang="uk-UA"/>
            </a:pPr>
            <a:endParaRPr lang="ru-RU"/>
          </a:p>
        </c:txPr>
        <c:crossAx val="8250572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2358960991944952"/>
          <c:y val="0.20163931611352323"/>
          <c:w val="0.16584509005339859"/>
          <c:h val="0.47845694612848727"/>
        </c:manualLayout>
      </c:layout>
      <c:txPr>
        <a:bodyPr/>
        <a:lstStyle/>
        <a:p>
          <a:pPr>
            <a:defRPr lang="uk-UA"/>
          </a:pPr>
          <a:endParaRPr lang="ru-RU"/>
        </a:p>
      </c:txPr>
    </c:legend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lang="uk-UA"/>
            </a:pPr>
            <a:r>
              <a:rPr lang="uk-UA"/>
              <a:t>Аналіз</a:t>
            </a:r>
            <a:r>
              <a:rPr lang="uk-UA" baseline="0"/>
              <a:t> надходження доходів місцевих бюджетів ОТГ Хмельницької області у частині податку на доходи фізичних осіб</a:t>
            </a:r>
            <a:endParaRPr lang="uk-UA"/>
          </a:p>
        </c:rich>
      </c:tx>
    </c:title>
    <c:view3D>
      <c:rAngAx val="1"/>
    </c:view3D>
    <c:plotArea>
      <c:layout>
        <c:manualLayout>
          <c:layoutTarget val="inner"/>
          <c:xMode val="edge"/>
          <c:yMode val="edge"/>
          <c:x val="6.8909540813836073E-2"/>
          <c:y val="0.18774136084974946"/>
          <c:w val="0.769669456553983"/>
          <c:h val="0.46395576906677288"/>
        </c:manualLayout>
      </c:layout>
      <c:bar3DChart>
        <c:barDir val="col"/>
        <c:grouping val="clustered"/>
        <c:ser>
          <c:idx val="0"/>
          <c:order val="0"/>
          <c:tx>
            <c:strRef>
              <c:f>Аркуш1!$B$1</c:f>
              <c:strCache>
                <c:ptCount val="1"/>
                <c:pt idx="0">
                  <c:v>Фактично надійшло станом на 01.04.2015</c:v>
                </c:pt>
              </c:strCache>
            </c:strRef>
          </c:tx>
          <c:cat>
            <c:strRef>
              <c:f>Аркуш1!$A$2:$A$23</c:f>
              <c:strCache>
                <c:ptCount val="22"/>
                <c:pt idx="0">
                  <c:v>Берездівська сільська ОТГ</c:v>
                </c:pt>
                <c:pt idx="1">
                  <c:v>Війтовецька селищна ОТГ</c:v>
                </c:pt>
                <c:pt idx="2">
                  <c:v>Волочиська міська ОТГ</c:v>
                </c:pt>
                <c:pt idx="3">
                  <c:v>Ганнопільська сільська ОТГ</c:v>
                </c:pt>
                <c:pt idx="4">
                  <c:v>Гвардійська сільська ОТГ</c:v>
                </c:pt>
                <c:pt idx="5">
                  <c:v>Гуменецька сільська ОТГ</c:v>
                </c:pt>
                <c:pt idx="6">
                  <c:v>Дунаєвецька міська ОТГ</c:v>
                </c:pt>
                <c:pt idx="7">
                  <c:v>Дунаєвецька селищна ОТГ</c:v>
                </c:pt>
                <c:pt idx="8">
                  <c:v>Китайгородська сільська ОТГ</c:v>
                </c:pt>
                <c:pt idx="9">
                  <c:v>Колибаївська сільська ОТГ</c:v>
                </c:pt>
                <c:pt idx="10">
                  <c:v>Летичівська селищна ОТГ</c:v>
                </c:pt>
                <c:pt idx="11">
                  <c:v>Лісовогринівецька сільська ОТГ</c:v>
                </c:pt>
                <c:pt idx="12">
                  <c:v>Маківська сільська ОТГ</c:v>
                </c:pt>
                <c:pt idx="13">
                  <c:v>Меджибізька селищна ОТГ</c:v>
                </c:pt>
                <c:pt idx="14">
                  <c:v>Наркевицька селищна ОТГ</c:v>
                </c:pt>
                <c:pt idx="15">
                  <c:v>Новоушицька селищна ОТГ</c:v>
                </c:pt>
                <c:pt idx="16">
                  <c:v>Полонська міська ОТГ</c:v>
                </c:pt>
                <c:pt idx="17">
                  <c:v>Понінківська селищна ОТГ</c:v>
                </c:pt>
                <c:pt idx="18">
                  <c:v>Розсошанська сільська ОТГ</c:v>
                </c:pt>
                <c:pt idx="19">
                  <c:v>Сатанівська селищна ОТГ</c:v>
                </c:pt>
                <c:pt idx="20">
                  <c:v>Старосинявська селищна ОТГ</c:v>
                </c:pt>
                <c:pt idx="21">
                  <c:v>Чорноострівська селищна ОТГ</c:v>
                </c:pt>
              </c:strCache>
            </c:strRef>
          </c:cat>
          <c:val>
            <c:numRef>
              <c:f>Аркуш1!$B$2:$B$23</c:f>
              <c:numCache>
                <c:formatCode>General</c:formatCode>
                <c:ptCount val="22"/>
                <c:pt idx="0">
                  <c:v>648.5</c:v>
                </c:pt>
                <c:pt idx="1">
                  <c:v>424</c:v>
                </c:pt>
                <c:pt idx="2">
                  <c:v>6387.2</c:v>
                </c:pt>
                <c:pt idx="3">
                  <c:v>545.79999999999995</c:v>
                </c:pt>
                <c:pt idx="4">
                  <c:v>534.79999999999995</c:v>
                </c:pt>
                <c:pt idx="5">
                  <c:v>2919.6</c:v>
                </c:pt>
                <c:pt idx="6">
                  <c:v>3809.7</c:v>
                </c:pt>
                <c:pt idx="7">
                  <c:v>713.8</c:v>
                </c:pt>
                <c:pt idx="8">
                  <c:v>186.1</c:v>
                </c:pt>
                <c:pt idx="9">
                  <c:v>245.2</c:v>
                </c:pt>
                <c:pt idx="10">
                  <c:v>2244.8000000000002</c:v>
                </c:pt>
                <c:pt idx="11">
                  <c:v>686.3</c:v>
                </c:pt>
                <c:pt idx="12">
                  <c:v>297.7</c:v>
                </c:pt>
                <c:pt idx="13">
                  <c:v>651.70000000000005</c:v>
                </c:pt>
                <c:pt idx="14">
                  <c:v>937.4</c:v>
                </c:pt>
                <c:pt idx="15">
                  <c:v>2631.6</c:v>
                </c:pt>
                <c:pt idx="16">
                  <c:v>2665.1</c:v>
                </c:pt>
                <c:pt idx="17">
                  <c:v>869.7</c:v>
                </c:pt>
                <c:pt idx="18">
                  <c:v>971.3</c:v>
                </c:pt>
                <c:pt idx="19">
                  <c:v>391</c:v>
                </c:pt>
                <c:pt idx="20">
                  <c:v>1989.5</c:v>
                </c:pt>
                <c:pt idx="21">
                  <c:v>1126.2</c:v>
                </c:pt>
              </c:numCache>
            </c:numRef>
          </c:val>
        </c:ser>
        <c:ser>
          <c:idx val="1"/>
          <c:order val="1"/>
          <c:tx>
            <c:strRef>
              <c:f>Аркуш1!$C$1</c:f>
              <c:strCache>
                <c:ptCount val="1"/>
                <c:pt idx="0">
                  <c:v>Затверджено місцевими радами на січень-березень 2016</c:v>
                </c:pt>
              </c:strCache>
            </c:strRef>
          </c:tx>
          <c:cat>
            <c:strRef>
              <c:f>Аркуш1!$A$2:$A$23</c:f>
              <c:strCache>
                <c:ptCount val="22"/>
                <c:pt idx="0">
                  <c:v>Берездівська сільська ОТГ</c:v>
                </c:pt>
                <c:pt idx="1">
                  <c:v>Війтовецька селищна ОТГ</c:v>
                </c:pt>
                <c:pt idx="2">
                  <c:v>Волочиська міська ОТГ</c:v>
                </c:pt>
                <c:pt idx="3">
                  <c:v>Ганнопільська сільська ОТГ</c:v>
                </c:pt>
                <c:pt idx="4">
                  <c:v>Гвардійська сільська ОТГ</c:v>
                </c:pt>
                <c:pt idx="5">
                  <c:v>Гуменецька сільська ОТГ</c:v>
                </c:pt>
                <c:pt idx="6">
                  <c:v>Дунаєвецька міська ОТГ</c:v>
                </c:pt>
                <c:pt idx="7">
                  <c:v>Дунаєвецька селищна ОТГ</c:v>
                </c:pt>
                <c:pt idx="8">
                  <c:v>Китайгородська сільська ОТГ</c:v>
                </c:pt>
                <c:pt idx="9">
                  <c:v>Колибаївська сільська ОТГ</c:v>
                </c:pt>
                <c:pt idx="10">
                  <c:v>Летичівська селищна ОТГ</c:v>
                </c:pt>
                <c:pt idx="11">
                  <c:v>Лісовогринівецька сільська ОТГ</c:v>
                </c:pt>
                <c:pt idx="12">
                  <c:v>Маківська сільська ОТГ</c:v>
                </c:pt>
                <c:pt idx="13">
                  <c:v>Меджибізька селищна ОТГ</c:v>
                </c:pt>
                <c:pt idx="14">
                  <c:v>Наркевицька селищна ОТГ</c:v>
                </c:pt>
                <c:pt idx="15">
                  <c:v>Новоушицька селищна ОТГ</c:v>
                </c:pt>
                <c:pt idx="16">
                  <c:v>Полонська міська ОТГ</c:v>
                </c:pt>
                <c:pt idx="17">
                  <c:v>Понінківська селищна ОТГ</c:v>
                </c:pt>
                <c:pt idx="18">
                  <c:v>Розсошанська сільська ОТГ</c:v>
                </c:pt>
                <c:pt idx="19">
                  <c:v>Сатанівська селищна ОТГ</c:v>
                </c:pt>
                <c:pt idx="20">
                  <c:v>Старосинявська селищна ОТГ</c:v>
                </c:pt>
                <c:pt idx="21">
                  <c:v>Чорноострівська селищна ОТГ</c:v>
                </c:pt>
              </c:strCache>
            </c:strRef>
          </c:cat>
          <c:val>
            <c:numRef>
              <c:f>Аркуш1!$C$2:$C$23</c:f>
              <c:numCache>
                <c:formatCode>General</c:formatCode>
                <c:ptCount val="22"/>
                <c:pt idx="0">
                  <c:v>897.6</c:v>
                </c:pt>
                <c:pt idx="1">
                  <c:v>410.8</c:v>
                </c:pt>
                <c:pt idx="2">
                  <c:v>6059.3</c:v>
                </c:pt>
                <c:pt idx="3">
                  <c:v>300</c:v>
                </c:pt>
                <c:pt idx="4">
                  <c:v>548.9</c:v>
                </c:pt>
                <c:pt idx="5">
                  <c:v>4041.7</c:v>
                </c:pt>
                <c:pt idx="6">
                  <c:v>3335.2</c:v>
                </c:pt>
                <c:pt idx="7">
                  <c:v>763</c:v>
                </c:pt>
                <c:pt idx="8">
                  <c:v>166.9</c:v>
                </c:pt>
                <c:pt idx="9">
                  <c:v>263.7</c:v>
                </c:pt>
                <c:pt idx="10">
                  <c:v>2083.4</c:v>
                </c:pt>
                <c:pt idx="11">
                  <c:v>604.29999999999995</c:v>
                </c:pt>
                <c:pt idx="12">
                  <c:v>448.2</c:v>
                </c:pt>
                <c:pt idx="13">
                  <c:v>599.4</c:v>
                </c:pt>
                <c:pt idx="14">
                  <c:v>378</c:v>
                </c:pt>
                <c:pt idx="15">
                  <c:v>1514.5</c:v>
                </c:pt>
                <c:pt idx="16">
                  <c:v>2767.5</c:v>
                </c:pt>
                <c:pt idx="17">
                  <c:v>1077.8</c:v>
                </c:pt>
                <c:pt idx="18">
                  <c:v>1174.4000000000001</c:v>
                </c:pt>
                <c:pt idx="19">
                  <c:v>784</c:v>
                </c:pt>
                <c:pt idx="20">
                  <c:v>2618.1999999999998</c:v>
                </c:pt>
                <c:pt idx="21">
                  <c:v>1214.5</c:v>
                </c:pt>
              </c:numCache>
            </c:numRef>
          </c:val>
        </c:ser>
        <c:ser>
          <c:idx val="2"/>
          <c:order val="2"/>
          <c:tx>
            <c:strRef>
              <c:f>Аркуш1!$D$1</c:f>
              <c:strCache>
                <c:ptCount val="1"/>
                <c:pt idx="0">
                  <c:v>Фактично надійшло станом на 01.04.2016</c:v>
                </c:pt>
              </c:strCache>
            </c:strRef>
          </c:tx>
          <c:cat>
            <c:strRef>
              <c:f>Аркуш1!$A$2:$A$23</c:f>
              <c:strCache>
                <c:ptCount val="22"/>
                <c:pt idx="0">
                  <c:v>Берездівська сільська ОТГ</c:v>
                </c:pt>
                <c:pt idx="1">
                  <c:v>Війтовецька селищна ОТГ</c:v>
                </c:pt>
                <c:pt idx="2">
                  <c:v>Волочиська міська ОТГ</c:v>
                </c:pt>
                <c:pt idx="3">
                  <c:v>Ганнопільська сільська ОТГ</c:v>
                </c:pt>
                <c:pt idx="4">
                  <c:v>Гвардійська сільська ОТГ</c:v>
                </c:pt>
                <c:pt idx="5">
                  <c:v>Гуменецька сільська ОТГ</c:v>
                </c:pt>
                <c:pt idx="6">
                  <c:v>Дунаєвецька міська ОТГ</c:v>
                </c:pt>
                <c:pt idx="7">
                  <c:v>Дунаєвецька селищна ОТГ</c:v>
                </c:pt>
                <c:pt idx="8">
                  <c:v>Китайгородська сільська ОТГ</c:v>
                </c:pt>
                <c:pt idx="9">
                  <c:v>Колибаївська сільська ОТГ</c:v>
                </c:pt>
                <c:pt idx="10">
                  <c:v>Летичівська селищна ОТГ</c:v>
                </c:pt>
                <c:pt idx="11">
                  <c:v>Лісовогринівецька сільська ОТГ</c:v>
                </c:pt>
                <c:pt idx="12">
                  <c:v>Маківська сільська ОТГ</c:v>
                </c:pt>
                <c:pt idx="13">
                  <c:v>Меджибізька селищна ОТГ</c:v>
                </c:pt>
                <c:pt idx="14">
                  <c:v>Наркевицька селищна ОТГ</c:v>
                </c:pt>
                <c:pt idx="15">
                  <c:v>Новоушицька селищна ОТГ</c:v>
                </c:pt>
                <c:pt idx="16">
                  <c:v>Полонська міська ОТГ</c:v>
                </c:pt>
                <c:pt idx="17">
                  <c:v>Понінківська селищна ОТГ</c:v>
                </c:pt>
                <c:pt idx="18">
                  <c:v>Розсошанська сільська ОТГ</c:v>
                </c:pt>
                <c:pt idx="19">
                  <c:v>Сатанівська селищна ОТГ</c:v>
                </c:pt>
                <c:pt idx="20">
                  <c:v>Старосинявська селищна ОТГ</c:v>
                </c:pt>
                <c:pt idx="21">
                  <c:v>Чорноострівська селищна ОТГ</c:v>
                </c:pt>
              </c:strCache>
            </c:strRef>
          </c:cat>
          <c:val>
            <c:numRef>
              <c:f>Аркуш1!$D$2:$D$23</c:f>
              <c:numCache>
                <c:formatCode>General</c:formatCode>
                <c:ptCount val="22"/>
                <c:pt idx="0">
                  <c:v>834.8</c:v>
                </c:pt>
                <c:pt idx="1">
                  <c:v>744.6</c:v>
                </c:pt>
                <c:pt idx="2">
                  <c:v>9249.9</c:v>
                </c:pt>
                <c:pt idx="3">
                  <c:v>868.6</c:v>
                </c:pt>
                <c:pt idx="4">
                  <c:v>868.2</c:v>
                </c:pt>
                <c:pt idx="5">
                  <c:v>4929.1000000000004</c:v>
                </c:pt>
                <c:pt idx="6">
                  <c:v>4945.1000000000004</c:v>
                </c:pt>
                <c:pt idx="7">
                  <c:v>1247.2</c:v>
                </c:pt>
                <c:pt idx="8">
                  <c:v>249.3</c:v>
                </c:pt>
                <c:pt idx="9">
                  <c:v>535.4</c:v>
                </c:pt>
                <c:pt idx="10">
                  <c:v>3195</c:v>
                </c:pt>
                <c:pt idx="11">
                  <c:v>1451.2</c:v>
                </c:pt>
                <c:pt idx="12">
                  <c:v>560.9</c:v>
                </c:pt>
                <c:pt idx="13">
                  <c:v>975.5</c:v>
                </c:pt>
                <c:pt idx="14">
                  <c:v>1625.5</c:v>
                </c:pt>
                <c:pt idx="15">
                  <c:v>3178.3</c:v>
                </c:pt>
                <c:pt idx="16">
                  <c:v>4052.4</c:v>
                </c:pt>
                <c:pt idx="17">
                  <c:v>1654.8</c:v>
                </c:pt>
                <c:pt idx="18">
                  <c:v>2276.6999999999998</c:v>
                </c:pt>
                <c:pt idx="19">
                  <c:v>1118.8</c:v>
                </c:pt>
                <c:pt idx="20">
                  <c:v>3263.7</c:v>
                </c:pt>
                <c:pt idx="21">
                  <c:v>1537</c:v>
                </c:pt>
              </c:numCache>
            </c:numRef>
          </c:val>
        </c:ser>
        <c:shape val="box"/>
        <c:axId val="82424192"/>
        <c:axId val="82425728"/>
        <c:axId val="0"/>
      </c:bar3DChart>
      <c:catAx>
        <c:axId val="82424192"/>
        <c:scaling>
          <c:orientation val="minMax"/>
        </c:scaling>
        <c:axPos val="b"/>
        <c:tickLblPos val="nextTo"/>
        <c:txPr>
          <a:bodyPr/>
          <a:lstStyle/>
          <a:p>
            <a:pPr>
              <a:defRPr lang="uk-UA"/>
            </a:pPr>
            <a:endParaRPr lang="ru-RU"/>
          </a:p>
        </c:txPr>
        <c:crossAx val="82425728"/>
        <c:crosses val="autoZero"/>
        <c:auto val="1"/>
        <c:lblAlgn val="ctr"/>
        <c:lblOffset val="100"/>
      </c:catAx>
      <c:valAx>
        <c:axId val="82425728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lang="uk-UA"/>
            </a:pPr>
            <a:endParaRPr lang="ru-RU"/>
          </a:p>
        </c:txPr>
        <c:crossAx val="8242419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2358960991944952"/>
          <c:y val="0.20163931611352323"/>
          <c:w val="0.16584509005339856"/>
          <c:h val="0.47845694612848727"/>
        </c:manualLayout>
      </c:layout>
      <c:txPr>
        <a:bodyPr/>
        <a:lstStyle/>
        <a:p>
          <a:pPr>
            <a:defRPr lang="uk-UA"/>
          </a:pPr>
          <a:endParaRPr lang="ru-RU"/>
        </a:p>
      </c:txPr>
    </c:legend>
    <c:plotVisOnly val="1"/>
    <c:dispBlanksAs val="gap"/>
  </c:chart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111</cp:lastModifiedBy>
  <cp:revision>2</cp:revision>
  <cp:lastPrinted>2016-04-28T08:00:00Z</cp:lastPrinted>
  <dcterms:created xsi:type="dcterms:W3CDTF">2016-05-13T09:35:00Z</dcterms:created>
  <dcterms:modified xsi:type="dcterms:W3CDTF">2016-05-13T09:35:00Z</dcterms:modified>
</cp:coreProperties>
</file>