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525"/>
        <w:tblW w:w="10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48"/>
        <w:gridCol w:w="5355"/>
      </w:tblGrid>
      <w:tr w:rsidR="00E122F0" w:rsidRPr="00DE5CEB" w:rsidTr="00E122F0"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F0" w:rsidRDefault="00E122F0" w:rsidP="00E122F0">
            <w:pPr>
              <w:tabs>
                <w:tab w:val="left" w:pos="9498"/>
              </w:tabs>
              <w:ind w:firstLine="23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The name of the investment project</w:t>
            </w:r>
          </w:p>
          <w:p w:rsidR="00E122F0" w:rsidRPr="000A6B3E" w:rsidRDefault="00E122F0" w:rsidP="00E122F0">
            <w:pPr>
              <w:tabs>
                <w:tab w:val="left" w:pos="9498"/>
              </w:tabs>
              <w:ind w:firstLine="23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2F0" w:rsidRDefault="00E122F0" w:rsidP="00E122F0">
            <w:pPr>
              <w:tabs>
                <w:tab w:val="left" w:pos="9498"/>
              </w:tabs>
              <w:ind w:firstLine="23"/>
              <w:jc w:val="both"/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Restoration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of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brick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 xml:space="preserve">, 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ceramic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tile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production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in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Butsniva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village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of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Yabluniv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>ka</w:t>
            </w:r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village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council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 xml:space="preserve">, 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Derazhnyansky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District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 xml:space="preserve">, 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Khmelnytsky</w:t>
            </w:r>
            <w:r>
              <w:rPr>
                <w:b/>
                <w:sz w:val="22"/>
                <w:szCs w:val="22"/>
                <w:lang w:val="en-US"/>
              </w:rPr>
              <w:t>i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Region</w:t>
            </w:r>
            <w:proofErr w:type="spellEnd"/>
          </w:p>
        </w:tc>
      </w:tr>
      <w:tr w:rsidR="00E122F0" w:rsidRPr="00DE5CEB" w:rsidTr="00E122F0"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F0" w:rsidRDefault="00E122F0" w:rsidP="00E122F0">
            <w:pPr>
              <w:tabs>
                <w:tab w:val="left" w:pos="9498"/>
              </w:tabs>
              <w:ind w:firstLine="23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The essence and purpose of the investment project</w:t>
            </w:r>
          </w:p>
          <w:p w:rsidR="00E122F0" w:rsidRDefault="00E122F0" w:rsidP="00E122F0">
            <w:pPr>
              <w:tabs>
                <w:tab w:val="left" w:pos="9498"/>
              </w:tabs>
              <w:ind w:firstLine="23"/>
              <w:rPr>
                <w:sz w:val="22"/>
                <w:szCs w:val="22"/>
                <w:lang w:val="en-US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2F0" w:rsidRDefault="00E122F0" w:rsidP="00E122F0">
            <w:pPr>
              <w:tabs>
                <w:tab w:val="left" w:pos="9498"/>
              </w:tabs>
              <w:ind w:firstLine="23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k-UA"/>
              </w:rPr>
              <w:t xml:space="preserve">- </w:t>
            </w:r>
            <w:proofErr w:type="spellStart"/>
            <w:r>
              <w:rPr>
                <w:sz w:val="22"/>
                <w:szCs w:val="22"/>
                <w:lang w:val="uk-UA"/>
              </w:rPr>
              <w:t>providing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jobs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for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people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of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Butsniva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village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and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the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surrounding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villages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; </w:t>
            </w:r>
          </w:p>
          <w:p w:rsidR="00E122F0" w:rsidRDefault="00E122F0" w:rsidP="00E122F0">
            <w:pPr>
              <w:tabs>
                <w:tab w:val="left" w:pos="9498"/>
              </w:tabs>
              <w:ind w:firstLine="23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 the increase in flow of funds into the State and local budgets;</w:t>
            </w:r>
          </w:p>
          <w:p w:rsidR="00E122F0" w:rsidRDefault="00E122F0" w:rsidP="00E122F0">
            <w:pPr>
              <w:tabs>
                <w:tab w:val="left" w:pos="9498"/>
              </w:tabs>
              <w:ind w:firstLine="23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  the increase in flow of funds into the Pension Fund;</w:t>
            </w:r>
          </w:p>
          <w:p w:rsidR="00E122F0" w:rsidRDefault="00E122F0" w:rsidP="00E122F0">
            <w:pPr>
              <w:tabs>
                <w:tab w:val="left" w:pos="9498"/>
              </w:tabs>
              <w:ind w:firstLine="23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-  the living standard improvement of the residents of </w:t>
            </w:r>
            <w:proofErr w:type="spellStart"/>
            <w:r>
              <w:rPr>
                <w:sz w:val="22"/>
                <w:szCs w:val="22"/>
                <w:lang w:val="en-US"/>
              </w:rPr>
              <w:t>Butsniva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village and the surrounding villages;</w:t>
            </w:r>
          </w:p>
          <w:p w:rsidR="00E122F0" w:rsidRDefault="00E122F0" w:rsidP="00E122F0">
            <w:pPr>
              <w:tabs>
                <w:tab w:val="left" w:pos="9498"/>
              </w:tabs>
              <w:ind w:firstLine="23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 xml:space="preserve">- ensuring social and economic development of </w:t>
            </w:r>
            <w:proofErr w:type="spellStart"/>
            <w:r>
              <w:rPr>
                <w:sz w:val="22"/>
                <w:szCs w:val="22"/>
                <w:lang w:val="en-US"/>
              </w:rPr>
              <w:t>Yablunivka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village council</w:t>
            </w:r>
          </w:p>
        </w:tc>
      </w:tr>
      <w:tr w:rsidR="00E122F0" w:rsidTr="00E122F0"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2F0" w:rsidRDefault="00E122F0" w:rsidP="00E122F0">
            <w:pPr>
              <w:tabs>
                <w:tab w:val="left" w:pos="9498"/>
              </w:tabs>
              <w:ind w:firstLine="23"/>
              <w:rPr>
                <w:bCs/>
                <w:color w:val="000000"/>
                <w:sz w:val="22"/>
                <w:szCs w:val="22"/>
                <w:lang w:val="uk-UA"/>
              </w:rPr>
            </w:pPr>
            <w:proofErr w:type="spellStart"/>
            <w:r>
              <w:rPr>
                <w:bCs/>
                <w:color w:val="000000"/>
                <w:sz w:val="22"/>
                <w:szCs w:val="22"/>
                <w:lang w:val="uk-UA"/>
              </w:rPr>
              <w:t>The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bCs/>
                <w:color w:val="000000"/>
                <w:sz w:val="22"/>
                <w:szCs w:val="22"/>
                <w:lang w:val="uk-UA"/>
              </w:rPr>
              <w:t>type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bCs/>
                <w:color w:val="000000"/>
                <w:sz w:val="22"/>
                <w:szCs w:val="22"/>
                <w:lang w:val="uk-UA"/>
              </w:rPr>
              <w:t>of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bCs/>
                <w:color w:val="000000"/>
                <w:sz w:val="22"/>
                <w:szCs w:val="22"/>
                <w:lang w:val="uk-UA"/>
              </w:rPr>
              <w:t>economic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bCs/>
                <w:color w:val="000000"/>
                <w:sz w:val="22"/>
                <w:szCs w:val="22"/>
                <w:lang w:val="uk-UA"/>
              </w:rPr>
              <w:t>activity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bCs/>
                <w:color w:val="000000"/>
                <w:sz w:val="22"/>
                <w:szCs w:val="22"/>
                <w:lang w:val="uk-UA"/>
              </w:rPr>
              <w:t>which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bCs/>
                <w:color w:val="000000"/>
                <w:sz w:val="22"/>
                <w:szCs w:val="22"/>
                <w:lang w:val="uk-UA"/>
              </w:rPr>
              <w:t>is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bCs/>
                <w:color w:val="000000"/>
                <w:sz w:val="22"/>
                <w:szCs w:val="22"/>
                <w:lang w:val="uk-UA"/>
              </w:rPr>
              <w:t>invested</w:t>
            </w:r>
            <w:proofErr w:type="spellEnd"/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2F0" w:rsidRDefault="00E122F0" w:rsidP="00E122F0">
            <w:pPr>
              <w:tabs>
                <w:tab w:val="left" w:pos="9498"/>
              </w:tabs>
              <w:ind w:firstLine="23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23.32 </w:t>
            </w:r>
            <w:proofErr w:type="spellStart"/>
            <w:r>
              <w:rPr>
                <w:sz w:val="22"/>
                <w:szCs w:val="22"/>
                <w:lang w:val="uk-UA"/>
              </w:rPr>
              <w:t>Production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of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bricks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uk-UA"/>
              </w:rPr>
              <w:t>tiles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and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other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building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products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made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of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fired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clay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  <w:p w:rsidR="00E122F0" w:rsidRDefault="00E122F0" w:rsidP="00E122F0">
            <w:pPr>
              <w:tabs>
                <w:tab w:val="left" w:pos="9498"/>
              </w:tabs>
              <w:ind w:firstLine="23"/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The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characteristic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was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drawn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up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in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2010.</w:t>
            </w:r>
          </w:p>
          <w:p w:rsidR="00E122F0" w:rsidRDefault="00E122F0" w:rsidP="00E122F0">
            <w:pPr>
              <w:tabs>
                <w:tab w:val="left" w:pos="9498"/>
              </w:tabs>
              <w:ind w:firstLine="23"/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The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estimated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production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capacity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will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be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40,0 </w:t>
            </w:r>
            <w:proofErr w:type="spellStart"/>
            <w:r>
              <w:rPr>
                <w:sz w:val="22"/>
                <w:szCs w:val="22"/>
                <w:lang w:val="uk-UA"/>
              </w:rPr>
              <w:t>thousand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bricks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per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day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or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8.0 </w:t>
            </w:r>
            <w:proofErr w:type="spellStart"/>
            <w:r>
              <w:rPr>
                <w:sz w:val="22"/>
                <w:szCs w:val="22"/>
                <w:lang w:val="uk-UA"/>
              </w:rPr>
              <w:t>million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per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year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  <w:p w:rsidR="00E122F0" w:rsidRDefault="00E122F0" w:rsidP="00E122F0">
            <w:pPr>
              <w:tabs>
                <w:tab w:val="left" w:pos="9498"/>
              </w:tabs>
              <w:ind w:firstLine="23"/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The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cost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of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selling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one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brick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is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about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1 </w:t>
            </w:r>
            <w:proofErr w:type="spellStart"/>
            <w:r>
              <w:rPr>
                <w:sz w:val="22"/>
                <w:szCs w:val="22"/>
                <w:lang w:val="uk-UA"/>
              </w:rPr>
              <w:t>hryvnia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  <w:p w:rsidR="00E122F0" w:rsidRDefault="00E122F0" w:rsidP="00E122F0">
            <w:pPr>
              <w:tabs>
                <w:tab w:val="left" w:pos="9498"/>
              </w:tabs>
              <w:ind w:firstLine="23"/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The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projected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annual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revenue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from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sales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is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8.0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million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hryvnias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  <w:p w:rsidR="00E122F0" w:rsidRDefault="00E122F0" w:rsidP="00E122F0">
            <w:pPr>
              <w:tabs>
                <w:tab w:val="left" w:pos="9498"/>
              </w:tabs>
              <w:ind w:firstLine="23"/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Plant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construction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and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commissioning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– 8-14 </w:t>
            </w:r>
            <w:proofErr w:type="spellStart"/>
            <w:r>
              <w:rPr>
                <w:sz w:val="22"/>
                <w:szCs w:val="22"/>
                <w:lang w:val="uk-UA"/>
              </w:rPr>
              <w:t>months</w:t>
            </w:r>
            <w:proofErr w:type="spellEnd"/>
            <w:r>
              <w:rPr>
                <w:sz w:val="22"/>
                <w:szCs w:val="22"/>
                <w:lang w:val="uk-UA"/>
              </w:rPr>
              <w:t>;</w:t>
            </w:r>
          </w:p>
          <w:p w:rsidR="00E122F0" w:rsidRDefault="00E122F0" w:rsidP="00E122F0">
            <w:pPr>
              <w:tabs>
                <w:tab w:val="left" w:pos="9498"/>
              </w:tabs>
              <w:ind w:firstLine="23"/>
              <w:jc w:val="both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Payback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period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- 12-18 </w:t>
            </w:r>
            <w:proofErr w:type="spellStart"/>
            <w:r>
              <w:rPr>
                <w:sz w:val="22"/>
                <w:szCs w:val="22"/>
                <w:lang w:val="uk-UA"/>
              </w:rPr>
              <w:t>months</w:t>
            </w:r>
            <w:proofErr w:type="spellEnd"/>
          </w:p>
        </w:tc>
      </w:tr>
      <w:tr w:rsidR="00E122F0" w:rsidRPr="00576D2C" w:rsidTr="00E122F0"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2F0" w:rsidRDefault="00E122F0" w:rsidP="00E122F0">
            <w:pPr>
              <w:tabs>
                <w:tab w:val="left" w:pos="9498"/>
              </w:tabs>
              <w:ind w:firstLine="23"/>
              <w:rPr>
                <w:sz w:val="22"/>
                <w:szCs w:val="22"/>
                <w:lang w:val="en-US" w:eastAsia="ru-RU"/>
              </w:rPr>
            </w:pPr>
            <w:proofErr w:type="spellStart"/>
            <w:r>
              <w:rPr>
                <w:bCs/>
                <w:color w:val="000000"/>
                <w:sz w:val="22"/>
                <w:szCs w:val="22"/>
              </w:rPr>
              <w:t>Organizational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form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of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cooperation</w:t>
            </w:r>
            <w:proofErr w:type="spellEnd"/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2F0" w:rsidRDefault="00E122F0" w:rsidP="00E122F0">
            <w:pPr>
              <w:tabs>
                <w:tab w:val="left" w:pos="9498"/>
              </w:tabs>
              <w:spacing w:line="360" w:lineRule="auto"/>
              <w:ind w:firstLine="2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V</w:t>
            </w:r>
            <w:proofErr w:type="spellStart"/>
            <w:r>
              <w:rPr>
                <w:sz w:val="22"/>
                <w:szCs w:val="22"/>
                <w:lang w:val="uk-UA"/>
              </w:rPr>
              <w:t>arious</w:t>
            </w:r>
            <w:proofErr w:type="spellEnd"/>
          </w:p>
        </w:tc>
      </w:tr>
      <w:tr w:rsidR="00E122F0" w:rsidRPr="00DE5CEB" w:rsidTr="00E122F0"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2F0" w:rsidRDefault="00E122F0" w:rsidP="00E122F0">
            <w:pPr>
              <w:tabs>
                <w:tab w:val="left" w:pos="9498"/>
              </w:tabs>
              <w:ind w:firstLine="23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The total project cost, thousands of US dollars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2F0" w:rsidRDefault="00E122F0" w:rsidP="00E122F0">
            <w:pPr>
              <w:tabs>
                <w:tab w:val="left" w:pos="9498"/>
              </w:tabs>
              <w:ind w:firstLine="23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P</w:t>
            </w:r>
            <w:proofErr w:type="spellStart"/>
            <w:r>
              <w:rPr>
                <w:sz w:val="22"/>
                <w:szCs w:val="22"/>
                <w:lang w:val="uk-UA"/>
              </w:rPr>
              <w:t>roject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cost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as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at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01.01.2011:</w:t>
            </w:r>
          </w:p>
          <w:p w:rsidR="00E122F0" w:rsidRPr="000A6B3E" w:rsidRDefault="00E122F0" w:rsidP="00E122F0">
            <w:pPr>
              <w:tabs>
                <w:tab w:val="left" w:pos="9498"/>
              </w:tabs>
              <w:ind w:firstLine="23"/>
              <w:jc w:val="both"/>
              <w:rPr>
                <w:sz w:val="22"/>
                <w:szCs w:val="22"/>
                <w:lang w:val="en-US"/>
              </w:rPr>
            </w:pPr>
            <w:r w:rsidRPr="000A6B3E">
              <w:rPr>
                <w:sz w:val="22"/>
                <w:szCs w:val="22"/>
                <w:lang w:val="en-US"/>
              </w:rPr>
              <w:t>-</w:t>
            </w:r>
            <w:r w:rsidRPr="000A6B3E">
              <w:rPr>
                <w:sz w:val="22"/>
                <w:szCs w:val="22"/>
                <w:lang w:val="uk-UA"/>
              </w:rPr>
              <w:t xml:space="preserve"> </w:t>
            </w:r>
            <w:hyperlink r:id="rId4" w:history="1">
              <w:proofErr w:type="spellStart"/>
              <w:r w:rsidRPr="000A6B3E">
                <w:rPr>
                  <w:rStyle w:val="a3"/>
                  <w:iCs/>
                  <w:sz w:val="22"/>
                  <w:szCs w:val="22"/>
                  <w:lang w:val="en-US"/>
                </w:rPr>
                <w:t>i</w:t>
              </w:r>
              <w:r w:rsidRPr="000A6B3E">
                <w:rPr>
                  <w:rStyle w:val="a3"/>
                  <w:iCs/>
                  <w:sz w:val="22"/>
                  <w:szCs w:val="22"/>
                  <w:lang w:val="uk-UA"/>
                </w:rPr>
                <w:t>nvestment</w:t>
              </w:r>
              <w:proofErr w:type="spellEnd"/>
              <w:r w:rsidRPr="000A6B3E">
                <w:rPr>
                  <w:rStyle w:val="a3"/>
                  <w:iCs/>
                  <w:sz w:val="22"/>
                  <w:szCs w:val="22"/>
                  <w:lang w:val="uk-UA"/>
                </w:rPr>
                <w:t xml:space="preserve"> </w:t>
              </w:r>
              <w:r w:rsidRPr="000A6B3E">
                <w:rPr>
                  <w:rStyle w:val="a3"/>
                  <w:iCs/>
                  <w:sz w:val="22"/>
                  <w:szCs w:val="22"/>
                  <w:lang w:val="en-US"/>
                </w:rPr>
                <w:t>p</w:t>
              </w:r>
              <w:proofErr w:type="spellStart"/>
              <w:r w:rsidRPr="000A6B3E">
                <w:rPr>
                  <w:rStyle w:val="a3"/>
                  <w:iCs/>
                  <w:sz w:val="22"/>
                  <w:szCs w:val="22"/>
                  <w:lang w:val="uk-UA"/>
                </w:rPr>
                <w:t>roject</w:t>
              </w:r>
              <w:proofErr w:type="spellEnd"/>
              <w:r w:rsidRPr="000A6B3E">
                <w:rPr>
                  <w:rStyle w:val="a3"/>
                  <w:iCs/>
                  <w:sz w:val="22"/>
                  <w:szCs w:val="22"/>
                  <w:lang w:val="uk-UA"/>
                </w:rPr>
                <w:t xml:space="preserve"> </w:t>
              </w:r>
              <w:r w:rsidRPr="000A6B3E">
                <w:rPr>
                  <w:rStyle w:val="a3"/>
                  <w:iCs/>
                  <w:sz w:val="22"/>
                  <w:szCs w:val="22"/>
                  <w:lang w:val="en-US"/>
                </w:rPr>
                <w:t>d</w:t>
              </w:r>
              <w:proofErr w:type="spellStart"/>
              <w:r w:rsidRPr="000A6B3E">
                <w:rPr>
                  <w:rStyle w:val="a3"/>
                  <w:iCs/>
                  <w:sz w:val="22"/>
                  <w:szCs w:val="22"/>
                  <w:lang w:val="uk-UA"/>
                </w:rPr>
                <w:t>evelopment</w:t>
              </w:r>
              <w:proofErr w:type="spellEnd"/>
            </w:hyperlink>
            <w:r w:rsidRPr="000A6B3E">
              <w:rPr>
                <w:sz w:val="22"/>
                <w:szCs w:val="22"/>
                <w:lang w:val="en-US"/>
              </w:rPr>
              <w:t xml:space="preserve"> – 15 thousand </w:t>
            </w:r>
            <w:proofErr w:type="spellStart"/>
            <w:r w:rsidRPr="000A6B3E">
              <w:rPr>
                <w:sz w:val="22"/>
                <w:szCs w:val="22"/>
                <w:lang w:val="uk-UA"/>
              </w:rPr>
              <w:t>hryvnias</w:t>
            </w:r>
            <w:proofErr w:type="spellEnd"/>
            <w:r w:rsidRPr="000A6B3E">
              <w:rPr>
                <w:sz w:val="22"/>
                <w:szCs w:val="22"/>
                <w:lang w:val="en-US"/>
              </w:rPr>
              <w:t xml:space="preserve"> or 1,5 thousand Euro;</w:t>
            </w:r>
          </w:p>
          <w:p w:rsidR="00E122F0" w:rsidRDefault="00E122F0" w:rsidP="00E122F0">
            <w:pPr>
              <w:tabs>
                <w:tab w:val="left" w:pos="9498"/>
              </w:tabs>
              <w:ind w:firstLine="23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 the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construction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of plant, warehouse and administrative premise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- 5,0 million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hryvnias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or 500 thousand Euro;</w:t>
            </w:r>
          </w:p>
          <w:p w:rsidR="00E122F0" w:rsidRDefault="00E122F0" w:rsidP="00E122F0">
            <w:pPr>
              <w:tabs>
                <w:tab w:val="left" w:pos="9498"/>
              </w:tabs>
              <w:ind w:firstLine="23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- acquisition of brick-manufacturing equipment – 800,0 thousand </w:t>
            </w:r>
            <w:proofErr w:type="spellStart"/>
            <w:r>
              <w:rPr>
                <w:sz w:val="22"/>
                <w:szCs w:val="22"/>
                <w:lang w:val="uk-UA"/>
              </w:rPr>
              <w:t>hryvnias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or 80,0 thousand Euro;</w:t>
            </w:r>
          </w:p>
          <w:p w:rsidR="00E122F0" w:rsidRDefault="00E122F0" w:rsidP="00E122F0">
            <w:pPr>
              <w:tabs>
                <w:tab w:val="left" w:pos="9498"/>
              </w:tabs>
              <w:ind w:firstLine="23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 the acquisition of motor transport, including special one - 40,0 thousand Euro;</w:t>
            </w:r>
          </w:p>
          <w:p w:rsidR="00E122F0" w:rsidRDefault="00E122F0" w:rsidP="00E122F0">
            <w:pPr>
              <w:tabs>
                <w:tab w:val="left" w:pos="9498"/>
              </w:tabs>
              <w:ind w:firstLine="23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- total value of the investments – 585,5 thousand Euro</w:t>
            </w:r>
          </w:p>
        </w:tc>
      </w:tr>
      <w:tr w:rsidR="00E122F0" w:rsidTr="00E122F0"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2F0" w:rsidRDefault="00E122F0" w:rsidP="00E122F0">
            <w:pPr>
              <w:tabs>
                <w:tab w:val="left" w:pos="9498"/>
              </w:tabs>
              <w:ind w:firstLine="23"/>
              <w:rPr>
                <w:sz w:val="22"/>
                <w:szCs w:val="22"/>
                <w:lang w:eastAsia="ru-RU"/>
              </w:rPr>
            </w:pPr>
            <w:proofErr w:type="spellStart"/>
            <w:r>
              <w:rPr>
                <w:bCs/>
                <w:color w:val="000000"/>
                <w:sz w:val="22"/>
                <w:szCs w:val="22"/>
                <w:lang w:val="uk-UA"/>
              </w:rPr>
              <w:t>Need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bCs/>
                <w:color w:val="000000"/>
                <w:sz w:val="22"/>
                <w:szCs w:val="22"/>
                <w:lang w:val="uk-UA"/>
              </w:rPr>
              <w:t>for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bCs/>
                <w:color w:val="000000"/>
                <w:sz w:val="22"/>
                <w:szCs w:val="22"/>
                <w:lang w:val="uk-UA"/>
              </w:rPr>
              <w:t>investments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, </w:t>
            </w:r>
            <w:proofErr w:type="spellStart"/>
            <w:r>
              <w:rPr>
                <w:bCs/>
                <w:color w:val="000000"/>
                <w:sz w:val="22"/>
                <w:szCs w:val="22"/>
                <w:lang w:val="uk-UA"/>
              </w:rPr>
              <w:t>th</w:t>
            </w:r>
            <w:r>
              <w:rPr>
                <w:bCs/>
                <w:color w:val="000000"/>
                <w:sz w:val="22"/>
                <w:szCs w:val="22"/>
                <w:lang w:val="en-US"/>
              </w:rPr>
              <w:t>ousands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en-US"/>
              </w:rPr>
              <w:t xml:space="preserve"> of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U</w:t>
            </w:r>
            <w:r>
              <w:rPr>
                <w:bCs/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bCs/>
                <w:color w:val="000000"/>
                <w:sz w:val="22"/>
                <w:szCs w:val="22"/>
                <w:lang w:val="uk-UA"/>
              </w:rPr>
              <w:t>dollars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(%)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2F0" w:rsidRDefault="00E122F0" w:rsidP="00E122F0">
            <w:pPr>
              <w:tabs>
                <w:tab w:val="left" w:pos="9498"/>
              </w:tabs>
              <w:spacing w:line="360" w:lineRule="auto"/>
              <w:ind w:firstLine="2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585,5 </w:t>
            </w:r>
            <w:r>
              <w:rPr>
                <w:sz w:val="22"/>
                <w:szCs w:val="22"/>
                <w:lang w:val="en-US"/>
              </w:rPr>
              <w:t>thousand Euro</w:t>
            </w:r>
          </w:p>
        </w:tc>
      </w:tr>
      <w:tr w:rsidR="00E122F0" w:rsidTr="00E122F0"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2F0" w:rsidRDefault="00E122F0" w:rsidP="00E122F0">
            <w:pPr>
              <w:tabs>
                <w:tab w:val="left" w:pos="9498"/>
              </w:tabs>
              <w:ind w:firstLine="23"/>
              <w:rPr>
                <w:bCs/>
                <w:color w:val="000000"/>
                <w:sz w:val="22"/>
                <w:szCs w:val="22"/>
                <w:lang w:val="uk-UA"/>
              </w:rPr>
            </w:pPr>
            <w:proofErr w:type="spellStart"/>
            <w:r>
              <w:rPr>
                <w:bCs/>
                <w:color w:val="000000"/>
                <w:sz w:val="22"/>
                <w:szCs w:val="22"/>
                <w:lang w:val="uk-UA"/>
              </w:rPr>
              <w:t>Ownership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bCs/>
                <w:color w:val="000000"/>
                <w:sz w:val="22"/>
                <w:szCs w:val="22"/>
                <w:lang w:val="uk-UA"/>
              </w:rPr>
              <w:t>form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; </w:t>
            </w:r>
            <w:proofErr w:type="spellStart"/>
            <w:r>
              <w:rPr>
                <w:bCs/>
                <w:color w:val="000000"/>
                <w:sz w:val="22"/>
                <w:szCs w:val="22"/>
                <w:lang w:val="uk-UA"/>
              </w:rPr>
              <w:t>share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bCs/>
                <w:color w:val="000000"/>
                <w:sz w:val="22"/>
                <w:szCs w:val="22"/>
                <w:lang w:val="uk-UA"/>
              </w:rPr>
              <w:t>of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bCs/>
                <w:color w:val="000000"/>
                <w:sz w:val="22"/>
                <w:szCs w:val="22"/>
                <w:lang w:val="uk-UA"/>
              </w:rPr>
              <w:t>state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bCs/>
                <w:color w:val="000000"/>
                <w:sz w:val="22"/>
                <w:szCs w:val="22"/>
                <w:lang w:val="uk-UA"/>
              </w:rPr>
              <w:t>property</w:t>
            </w:r>
            <w:proofErr w:type="spellEnd"/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2F0" w:rsidRDefault="00E122F0" w:rsidP="00E122F0">
            <w:pPr>
              <w:tabs>
                <w:tab w:val="left" w:pos="9498"/>
              </w:tabs>
              <w:spacing w:line="360" w:lineRule="auto"/>
              <w:ind w:firstLine="2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V</w:t>
            </w:r>
            <w:proofErr w:type="spellStart"/>
            <w:r>
              <w:rPr>
                <w:sz w:val="22"/>
                <w:szCs w:val="22"/>
                <w:lang w:val="uk-UA"/>
              </w:rPr>
              <w:t>arious</w:t>
            </w:r>
            <w:proofErr w:type="spellEnd"/>
          </w:p>
        </w:tc>
      </w:tr>
      <w:tr w:rsidR="00E122F0" w:rsidRPr="00DE5CEB" w:rsidTr="00E122F0"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2F0" w:rsidRDefault="00E122F0" w:rsidP="00E122F0">
            <w:pPr>
              <w:tabs>
                <w:tab w:val="left" w:pos="9498"/>
              </w:tabs>
              <w:ind w:firstLine="23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R</w:t>
            </w:r>
            <w:proofErr w:type="spellStart"/>
            <w:r>
              <w:rPr>
                <w:bCs/>
                <w:color w:val="000000"/>
                <w:sz w:val="22"/>
                <w:szCs w:val="22"/>
                <w:lang w:val="uk-UA"/>
              </w:rPr>
              <w:t>esourcing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bCs/>
                <w:color w:val="000000"/>
                <w:sz w:val="22"/>
                <w:szCs w:val="22"/>
                <w:lang w:val="uk-UA"/>
              </w:rPr>
              <w:t>of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bCs/>
                <w:color w:val="000000"/>
                <w:sz w:val="22"/>
                <w:szCs w:val="22"/>
                <w:lang w:val="uk-UA"/>
              </w:rPr>
              <w:t>the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bCs/>
                <w:color w:val="000000"/>
                <w:sz w:val="22"/>
                <w:szCs w:val="22"/>
                <w:lang w:val="uk-UA"/>
              </w:rPr>
              <w:t>project</w:t>
            </w:r>
            <w:proofErr w:type="spellEnd"/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2F0" w:rsidRDefault="00E122F0" w:rsidP="00E122F0">
            <w:pPr>
              <w:tabs>
                <w:tab w:val="left" w:pos="9498"/>
              </w:tabs>
              <w:ind w:firstLine="23"/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On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the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territory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of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Butsniva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village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a </w:t>
            </w:r>
            <w:proofErr w:type="spellStart"/>
            <w:r>
              <w:rPr>
                <w:sz w:val="22"/>
                <w:szCs w:val="22"/>
                <w:lang w:val="uk-UA"/>
              </w:rPr>
              <w:t>deposit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of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high-</w:t>
            </w:r>
            <w:proofErr w:type="spellStart"/>
            <w:r>
              <w:rPr>
                <w:sz w:val="22"/>
                <w:szCs w:val="22"/>
                <w:lang w:val="uk-UA"/>
              </w:rPr>
              <w:t>quality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clay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is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located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uk-UA"/>
              </w:rPr>
              <w:t>to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which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a </w:t>
            </w:r>
            <w:proofErr w:type="spellStart"/>
            <w:r>
              <w:rPr>
                <w:sz w:val="22"/>
                <w:szCs w:val="22"/>
                <w:lang w:val="uk-UA"/>
              </w:rPr>
              <w:t>dirt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road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was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paved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Butsniva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village is situated 5 km from the district centre (town of </w:t>
            </w:r>
            <w:proofErr w:type="spellStart"/>
            <w:r>
              <w:rPr>
                <w:sz w:val="22"/>
                <w:szCs w:val="22"/>
                <w:lang w:val="en-US"/>
              </w:rPr>
              <w:t>Derazhnya</w:t>
            </w:r>
            <w:proofErr w:type="spellEnd"/>
            <w:r>
              <w:rPr>
                <w:sz w:val="22"/>
                <w:szCs w:val="22"/>
                <w:lang w:val="en-US"/>
              </w:rPr>
              <w:t>) and 10 km from the central estate (</w:t>
            </w:r>
            <w:proofErr w:type="spellStart"/>
            <w:r>
              <w:rPr>
                <w:sz w:val="22"/>
                <w:szCs w:val="22"/>
                <w:lang w:val="en-US"/>
              </w:rPr>
              <w:t>Yablunivka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village). Transport network is </w:t>
            </w:r>
            <w:proofErr w:type="gramStart"/>
            <w:r>
              <w:rPr>
                <w:sz w:val="22"/>
                <w:szCs w:val="22"/>
                <w:lang w:val="en-US"/>
              </w:rPr>
              <w:t>developed,</w:t>
            </w:r>
            <w:proofErr w:type="gramEnd"/>
            <w:r>
              <w:rPr>
                <w:sz w:val="22"/>
                <w:szCs w:val="22"/>
                <w:lang w:val="en-US"/>
              </w:rPr>
              <w:t xml:space="preserve"> the roads in </w:t>
            </w:r>
            <w:proofErr w:type="spellStart"/>
            <w:r>
              <w:rPr>
                <w:sz w:val="22"/>
                <w:szCs w:val="22"/>
                <w:lang w:val="en-US"/>
              </w:rPr>
              <w:t>Butsniva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village and in all the population </w:t>
            </w:r>
            <w:proofErr w:type="spellStart"/>
            <w:r>
              <w:rPr>
                <w:sz w:val="22"/>
                <w:szCs w:val="22"/>
                <w:lang w:val="en-US"/>
              </w:rPr>
              <w:t>centres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of the village council are asphalted. </w:t>
            </w:r>
            <w:proofErr w:type="spellStart"/>
            <w:r>
              <w:rPr>
                <w:sz w:val="22"/>
                <w:szCs w:val="22"/>
                <w:lang w:val="en-US"/>
              </w:rPr>
              <w:t>Butsniva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village and all the population </w:t>
            </w:r>
            <w:proofErr w:type="spellStart"/>
            <w:r>
              <w:rPr>
                <w:sz w:val="22"/>
                <w:szCs w:val="22"/>
                <w:lang w:val="en-US"/>
              </w:rPr>
              <w:t>centres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of </w:t>
            </w:r>
            <w:proofErr w:type="spellStart"/>
            <w:r>
              <w:rPr>
                <w:sz w:val="22"/>
                <w:szCs w:val="22"/>
                <w:lang w:val="en-US"/>
              </w:rPr>
              <w:t>Yablunivka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village council are  supplied with gas, the high-pressure 160 mm diameter gas pipelines pass through the territory</w:t>
            </w:r>
          </w:p>
        </w:tc>
      </w:tr>
      <w:tr w:rsidR="00E122F0" w:rsidRPr="00DE5CEB" w:rsidTr="00E122F0"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2F0" w:rsidRDefault="00E122F0" w:rsidP="00E122F0">
            <w:pPr>
              <w:tabs>
                <w:tab w:val="left" w:pos="9498"/>
              </w:tabs>
              <w:ind w:firstLine="23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Stage of readiness / development of the investment project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2F0" w:rsidRDefault="00E122F0" w:rsidP="00E122F0">
            <w:pPr>
              <w:tabs>
                <w:tab w:val="left" w:pos="9498"/>
              </w:tabs>
              <w:ind w:firstLine="23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 xml:space="preserve">The </w:t>
            </w:r>
            <w:proofErr w:type="spellStart"/>
            <w:r>
              <w:rPr>
                <w:sz w:val="22"/>
                <w:szCs w:val="22"/>
                <w:lang w:val="uk-UA"/>
              </w:rPr>
              <w:t>elaboration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of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designed-estimated </w:t>
            </w:r>
            <w:proofErr w:type="spellStart"/>
            <w:r>
              <w:rPr>
                <w:sz w:val="22"/>
                <w:szCs w:val="22"/>
                <w:lang w:val="uk-UA"/>
              </w:rPr>
              <w:t>documentation</w:t>
            </w:r>
            <w:proofErr w:type="spellEnd"/>
          </w:p>
        </w:tc>
      </w:tr>
      <w:tr w:rsidR="00E122F0" w:rsidRPr="00DE5CEB" w:rsidTr="00E122F0"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2F0" w:rsidRDefault="00E122F0" w:rsidP="00E122F0">
            <w:pPr>
              <w:tabs>
                <w:tab w:val="left" w:pos="9498"/>
              </w:tabs>
              <w:ind w:firstLine="23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Details of the enterprise (organization)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2F0" w:rsidRDefault="00E122F0" w:rsidP="00E122F0">
            <w:pPr>
              <w:tabs>
                <w:tab w:val="left" w:pos="9498"/>
              </w:tabs>
              <w:ind w:firstLine="23"/>
              <w:jc w:val="both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Yablunivka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village council,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Myru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 xml:space="preserve">lane,1 </w:t>
            </w:r>
            <w:proofErr w:type="spellStart"/>
            <w:r>
              <w:rPr>
                <w:sz w:val="22"/>
                <w:szCs w:val="22"/>
                <w:lang w:val="en-US"/>
              </w:rPr>
              <w:t>Yablunivka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village, </w:t>
            </w:r>
            <w:proofErr w:type="spellStart"/>
            <w:r>
              <w:rPr>
                <w:sz w:val="22"/>
                <w:szCs w:val="22"/>
                <w:lang w:val="en-US"/>
              </w:rPr>
              <w:t>Derazhnyansky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District, </w:t>
            </w:r>
            <w:proofErr w:type="spellStart"/>
            <w:r>
              <w:rPr>
                <w:sz w:val="22"/>
                <w:szCs w:val="22"/>
                <w:lang w:val="en-US"/>
              </w:rPr>
              <w:t>Khmelnytskyi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Region 32207</w:t>
            </w:r>
          </w:p>
          <w:p w:rsidR="00E122F0" w:rsidRDefault="00E122F0" w:rsidP="00E122F0">
            <w:pPr>
              <w:tabs>
                <w:tab w:val="left" w:pos="9498"/>
              </w:tabs>
              <w:ind w:firstLine="23"/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Phone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(03856) 3-03-41</w:t>
            </w:r>
          </w:p>
          <w:p w:rsidR="00E122F0" w:rsidRDefault="00E122F0" w:rsidP="00E122F0">
            <w:pPr>
              <w:tabs>
                <w:tab w:val="left" w:pos="9498"/>
              </w:tabs>
              <w:ind w:firstLine="23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  <w:lang w:val="uk-UA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  <w:lang w:val="uk-UA"/>
              </w:rPr>
              <w:t xml:space="preserve">: </w:t>
            </w:r>
            <w:proofErr w:type="spellStart"/>
            <w:r>
              <w:rPr>
                <w:sz w:val="22"/>
                <w:szCs w:val="22"/>
                <w:lang w:val="en-US"/>
              </w:rPr>
              <w:t>yablunivka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sr</w:t>
            </w:r>
            <w:proofErr w:type="spellEnd"/>
            <w:r>
              <w:rPr>
                <w:sz w:val="22"/>
                <w:szCs w:val="22"/>
                <w:lang w:val="uk-UA"/>
              </w:rPr>
              <w:t>@</w:t>
            </w:r>
            <w:proofErr w:type="spellStart"/>
            <w:r>
              <w:rPr>
                <w:sz w:val="22"/>
                <w:szCs w:val="22"/>
                <w:lang w:val="en-US"/>
              </w:rPr>
              <w:t>yandex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    </w:t>
            </w:r>
          </w:p>
        </w:tc>
      </w:tr>
      <w:tr w:rsidR="00E122F0" w:rsidRPr="00DE5CEB" w:rsidTr="00E122F0">
        <w:trPr>
          <w:trHeight w:val="1814"/>
        </w:trPr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F0" w:rsidRDefault="00E122F0" w:rsidP="00E122F0">
            <w:pPr>
              <w:tabs>
                <w:tab w:val="left" w:pos="9498"/>
              </w:tabs>
              <w:ind w:firstLine="23"/>
              <w:rPr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color w:val="000000"/>
                <w:sz w:val="22"/>
                <w:szCs w:val="22"/>
              </w:rPr>
              <w:lastRenderedPageBreak/>
              <w:t>Contact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information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>:</w:t>
            </w:r>
          </w:p>
          <w:p w:rsidR="00E122F0" w:rsidRDefault="00E122F0" w:rsidP="00E122F0">
            <w:pPr>
              <w:tabs>
                <w:tab w:val="left" w:pos="9498"/>
              </w:tabs>
              <w:ind w:firstLine="23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2F0" w:rsidRDefault="00E122F0" w:rsidP="00E122F0">
            <w:pPr>
              <w:tabs>
                <w:tab w:val="left" w:pos="9498"/>
              </w:tabs>
              <w:ind w:firstLine="23"/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Yablunivka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village council, </w:t>
            </w:r>
            <w:proofErr w:type="spellStart"/>
            <w:r>
              <w:rPr>
                <w:sz w:val="22"/>
                <w:szCs w:val="22"/>
                <w:lang w:val="en-US"/>
              </w:rPr>
              <w:t>Myru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 xml:space="preserve">lane,1 </w:t>
            </w:r>
            <w:proofErr w:type="spellStart"/>
            <w:r>
              <w:rPr>
                <w:sz w:val="22"/>
                <w:szCs w:val="22"/>
                <w:lang w:val="en-US"/>
              </w:rPr>
              <w:t>Yablunivka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village, </w:t>
            </w:r>
            <w:proofErr w:type="spellStart"/>
            <w:r>
              <w:rPr>
                <w:sz w:val="22"/>
                <w:szCs w:val="22"/>
                <w:lang w:val="en-US"/>
              </w:rPr>
              <w:t>Derazhnyansky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District, </w:t>
            </w:r>
            <w:proofErr w:type="spellStart"/>
            <w:r>
              <w:rPr>
                <w:sz w:val="22"/>
                <w:szCs w:val="22"/>
                <w:lang w:val="en-US"/>
              </w:rPr>
              <w:t>Khmelnytskyi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Region 32207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  <w:p w:rsidR="00E122F0" w:rsidRDefault="00E122F0" w:rsidP="00E122F0">
            <w:pPr>
              <w:tabs>
                <w:tab w:val="left" w:pos="9498"/>
              </w:tabs>
              <w:ind w:firstLine="23"/>
              <w:jc w:val="both"/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Phone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(03856) 3-03-41 </w:t>
            </w: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  <w:lang w:val="uk-UA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  <w:lang w:val="uk-UA"/>
              </w:rPr>
              <w:t xml:space="preserve">: </w:t>
            </w:r>
            <w:proofErr w:type="spellStart"/>
            <w:r>
              <w:rPr>
                <w:sz w:val="22"/>
                <w:szCs w:val="22"/>
                <w:lang w:val="en-US"/>
              </w:rPr>
              <w:t>yablunivka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sr</w:t>
            </w:r>
            <w:proofErr w:type="spellEnd"/>
            <w:r>
              <w:rPr>
                <w:sz w:val="22"/>
                <w:szCs w:val="22"/>
                <w:lang w:val="uk-UA"/>
              </w:rPr>
              <w:t>@</w:t>
            </w:r>
            <w:proofErr w:type="spellStart"/>
            <w:r>
              <w:rPr>
                <w:sz w:val="22"/>
                <w:szCs w:val="22"/>
                <w:lang w:val="en-US"/>
              </w:rPr>
              <w:t>yandex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    </w:t>
            </w:r>
          </w:p>
        </w:tc>
      </w:tr>
    </w:tbl>
    <w:p w:rsidR="007F192C" w:rsidRPr="00E122F0" w:rsidRDefault="007F192C">
      <w:pPr>
        <w:rPr>
          <w:lang w:val="en-US"/>
        </w:rPr>
      </w:pPr>
    </w:p>
    <w:sectPr w:rsidR="007F192C" w:rsidRPr="00E122F0" w:rsidSect="007F1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22F0"/>
    <w:rsid w:val="007F192C"/>
    <w:rsid w:val="00B1025B"/>
    <w:rsid w:val="00E12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2F0"/>
    <w:pPr>
      <w:suppressAutoHyphens/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E122F0"/>
    <w:rPr>
      <w:color w:val="000080"/>
      <w:u w:val="single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ontext.reverso.net/&#1087;&#1077;&#1088;&#1077;&#1074;&#1086;&#1076;/&#1072;&#1085;&#1075;&#1083;&#1080;&#1081;&#1089;&#1082;&#1080;&#1081;-&#1088;&#1091;&#1089;&#1089;&#1082;&#1080;&#1081;/Investment+Project+Developm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438</Words>
  <Characters>2502</Characters>
  <Application>Microsoft Office Word</Application>
  <DocSecurity>0</DocSecurity>
  <Lines>20</Lines>
  <Paragraphs>5</Paragraphs>
  <ScaleCrop>false</ScaleCrop>
  <Company>Microsoft</Company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2018-06-05T11:23:00Z</dcterms:created>
  <dcterms:modified xsi:type="dcterms:W3CDTF">2018-06-05T11:25:00Z</dcterms:modified>
</cp:coreProperties>
</file>