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BD" w:rsidRPr="00735AB1" w:rsidRDefault="00BF12BD" w:rsidP="000D2D00">
      <w:pPr>
        <w:pStyle w:val="BodyText"/>
        <w:jc w:val="center"/>
        <w:rPr>
          <w:sz w:val="24"/>
          <w:szCs w:val="24"/>
        </w:rPr>
      </w:pPr>
    </w:p>
    <w:p w:rsidR="00BF12BD" w:rsidRPr="00735AB1" w:rsidRDefault="00BF12BD" w:rsidP="000D2D00">
      <w:pPr>
        <w:pStyle w:val="BodyText"/>
        <w:jc w:val="center"/>
        <w:rPr>
          <w:b/>
          <w:bCs/>
          <w:sz w:val="32"/>
          <w:szCs w:val="32"/>
        </w:rPr>
      </w:pPr>
      <w:r w:rsidRPr="00735AB1">
        <w:rPr>
          <w:b/>
          <w:bCs/>
          <w:sz w:val="32"/>
          <w:szCs w:val="32"/>
        </w:rPr>
        <w:t>Конкурс пропозицій в рамках Програми ЄС LIFE 2024</w:t>
      </w:r>
    </w:p>
    <w:p w:rsidR="00BF12BD" w:rsidRPr="00735AB1" w:rsidRDefault="00BF12BD" w:rsidP="000D2D00">
      <w:pPr>
        <w:pStyle w:val="BodyText"/>
        <w:jc w:val="center"/>
        <w:rPr>
          <w:sz w:val="24"/>
          <w:szCs w:val="24"/>
        </w:rPr>
      </w:pPr>
    </w:p>
    <w:p w:rsidR="00BF12BD" w:rsidRPr="00B674E6" w:rsidRDefault="00BF12BD" w:rsidP="00B674E6">
      <w:pPr>
        <w:pStyle w:val="BodyText"/>
        <w:ind w:firstLine="720"/>
        <w:jc w:val="both"/>
        <w:rPr>
          <w:sz w:val="28"/>
          <w:szCs w:val="28"/>
        </w:rPr>
      </w:pPr>
      <w:r w:rsidRPr="00B674E6">
        <w:rPr>
          <w:sz w:val="28"/>
          <w:szCs w:val="28"/>
        </w:rPr>
        <w:t>18 квітня 2024 року Європейська Комісія оголосила конкурс пропозицій в рамках Програми ЄС LIFE 2024 (LIFE Calls for Proposals 2024) на загальну суму 571 мільйон євро, доступних для проектів, які сприяють розвитку природи та біорозмаїття, економіці замкнутого циклу, якості життя, пом’якшенню наслідків зміни клімату та адаптації до них, переходу до чистої енергії, реалізації ініціативи «Новий європейський Баугауз» та екологічному врядуванню.</w:t>
      </w:r>
    </w:p>
    <w:p w:rsidR="00BF12BD" w:rsidRPr="00B674E6" w:rsidRDefault="00BF12BD" w:rsidP="00B674E6">
      <w:pPr>
        <w:pStyle w:val="BodyText"/>
        <w:ind w:firstLine="720"/>
        <w:jc w:val="both"/>
        <w:rPr>
          <w:sz w:val="28"/>
          <w:szCs w:val="28"/>
        </w:rPr>
      </w:pPr>
      <w:r w:rsidRPr="00B674E6">
        <w:rPr>
          <w:sz w:val="28"/>
          <w:szCs w:val="28"/>
        </w:rPr>
        <w:t>Нове фінансування має допомогти Європі стати кліматично нейтральним континентом до 2050 року, вивести європейське біорозмаїття на шлях відновлення до 2030 року та виконати Європейський зелений курс.</w:t>
      </w:r>
    </w:p>
    <w:p w:rsidR="00BF12BD" w:rsidRPr="00B674E6" w:rsidRDefault="00BF12BD" w:rsidP="00B674E6">
      <w:pPr>
        <w:pStyle w:val="BodyText"/>
        <w:ind w:firstLine="720"/>
        <w:jc w:val="both"/>
        <w:rPr>
          <w:sz w:val="28"/>
          <w:szCs w:val="28"/>
        </w:rPr>
      </w:pPr>
      <w:r w:rsidRPr="00B674E6">
        <w:rPr>
          <w:sz w:val="28"/>
          <w:szCs w:val="28"/>
        </w:rPr>
        <w:t>Залежно від різних типів грантів, що надаються для проектів LIFE, було оголошено такі конкурси:</w:t>
      </w:r>
    </w:p>
    <w:p w:rsidR="00BF12BD" w:rsidRPr="00B674E6" w:rsidRDefault="00BF12BD" w:rsidP="00B674E6">
      <w:pPr>
        <w:pStyle w:val="BodyText"/>
        <w:ind w:firstLine="720"/>
        <w:jc w:val="both"/>
        <w:rPr>
          <w:sz w:val="28"/>
          <w:szCs w:val="28"/>
        </w:rPr>
      </w:pPr>
      <w:r w:rsidRPr="00B674E6">
        <w:rPr>
          <w:rFonts w:eastAsia="MS Gothic" w:hAnsi="MS Gothic" w:cs="MS Gothic" w:hint="eastAsia"/>
          <w:sz w:val="28"/>
          <w:szCs w:val="28"/>
        </w:rPr>
        <w:t>➢</w:t>
      </w:r>
      <w:r w:rsidRPr="00B674E6">
        <w:rPr>
          <w:rFonts w:eastAsia="MS Gothic"/>
          <w:sz w:val="28"/>
          <w:szCs w:val="28"/>
        </w:rPr>
        <w:t xml:space="preserve"> </w:t>
      </w:r>
      <w:r w:rsidRPr="00B674E6">
        <w:rPr>
          <w:sz w:val="28"/>
          <w:szCs w:val="28"/>
        </w:rPr>
        <w:t>Стандартні проекти дій (SAP)</w:t>
      </w:r>
    </w:p>
    <w:p w:rsidR="00BF12BD" w:rsidRPr="00B674E6" w:rsidRDefault="00BF12BD" w:rsidP="00B674E6">
      <w:pPr>
        <w:pStyle w:val="BodyText"/>
        <w:numPr>
          <w:ilvl w:val="0"/>
          <w:numId w:val="9"/>
        </w:numPr>
        <w:jc w:val="both"/>
        <w:rPr>
          <w:sz w:val="28"/>
          <w:szCs w:val="28"/>
        </w:rPr>
      </w:pPr>
      <w:r w:rsidRPr="00B674E6">
        <w:rPr>
          <w:sz w:val="28"/>
          <w:szCs w:val="28"/>
        </w:rPr>
        <w:t>природа та біорозмаїття (155 млн євро);</w:t>
      </w:r>
    </w:p>
    <w:p w:rsidR="00BF12BD" w:rsidRPr="00B674E6" w:rsidRDefault="00BF12BD" w:rsidP="00B674E6">
      <w:pPr>
        <w:pStyle w:val="BodyText"/>
        <w:numPr>
          <w:ilvl w:val="0"/>
          <w:numId w:val="9"/>
        </w:numPr>
        <w:jc w:val="both"/>
        <w:rPr>
          <w:sz w:val="28"/>
          <w:szCs w:val="28"/>
        </w:rPr>
      </w:pPr>
      <w:r w:rsidRPr="00B674E6">
        <w:rPr>
          <w:sz w:val="28"/>
          <w:szCs w:val="28"/>
        </w:rPr>
        <w:t>циркулярна економіка та якість життя (65 млн євро);</w:t>
      </w:r>
    </w:p>
    <w:p w:rsidR="00BF12BD" w:rsidRPr="00B674E6" w:rsidRDefault="00BF12BD" w:rsidP="00B674E6">
      <w:pPr>
        <w:pStyle w:val="BodyText"/>
        <w:numPr>
          <w:ilvl w:val="0"/>
          <w:numId w:val="9"/>
        </w:numPr>
        <w:jc w:val="both"/>
        <w:rPr>
          <w:sz w:val="28"/>
          <w:szCs w:val="28"/>
        </w:rPr>
      </w:pPr>
      <w:r w:rsidRPr="00B674E6">
        <w:rPr>
          <w:sz w:val="28"/>
          <w:szCs w:val="28"/>
        </w:rPr>
        <w:t>пом’якшення наслідків зміни клімату та адаптація (61,98 млн. євро);</w:t>
      </w:r>
    </w:p>
    <w:p w:rsidR="00BF12BD" w:rsidRPr="00B674E6" w:rsidRDefault="00BF12BD" w:rsidP="00B674E6">
      <w:pPr>
        <w:pStyle w:val="BodyText"/>
        <w:numPr>
          <w:ilvl w:val="0"/>
          <w:numId w:val="9"/>
        </w:numPr>
        <w:jc w:val="both"/>
        <w:rPr>
          <w:sz w:val="28"/>
          <w:szCs w:val="28"/>
        </w:rPr>
      </w:pPr>
      <w:r w:rsidRPr="00B674E6">
        <w:rPr>
          <w:sz w:val="28"/>
          <w:szCs w:val="28"/>
        </w:rPr>
        <w:t>перехід до чистої енергії (4 млн євро);</w:t>
      </w:r>
    </w:p>
    <w:p w:rsidR="00BF12BD" w:rsidRPr="00B674E6" w:rsidRDefault="00BF12BD" w:rsidP="00B674E6">
      <w:pPr>
        <w:pStyle w:val="BodyText"/>
        <w:numPr>
          <w:ilvl w:val="0"/>
          <w:numId w:val="9"/>
        </w:numPr>
        <w:jc w:val="both"/>
        <w:rPr>
          <w:sz w:val="28"/>
          <w:szCs w:val="28"/>
        </w:rPr>
      </w:pPr>
      <w:r w:rsidRPr="00B674E6">
        <w:rPr>
          <w:sz w:val="28"/>
          <w:szCs w:val="28"/>
        </w:rPr>
        <w:t>«Новий європейський Баугауз» (8 млн євро);</w:t>
      </w:r>
    </w:p>
    <w:p w:rsidR="00BF12BD" w:rsidRPr="00B674E6" w:rsidRDefault="00BF12BD" w:rsidP="00B674E6">
      <w:pPr>
        <w:pStyle w:val="BodyText"/>
        <w:numPr>
          <w:ilvl w:val="0"/>
          <w:numId w:val="9"/>
        </w:numPr>
        <w:jc w:val="both"/>
        <w:rPr>
          <w:sz w:val="28"/>
          <w:szCs w:val="28"/>
        </w:rPr>
      </w:pPr>
      <w:r w:rsidRPr="00B674E6">
        <w:rPr>
          <w:sz w:val="28"/>
          <w:szCs w:val="28"/>
        </w:rPr>
        <w:t>екологічне управління (10 млн євро).</w:t>
      </w:r>
    </w:p>
    <w:p w:rsidR="00BF12BD" w:rsidRPr="00B674E6" w:rsidRDefault="00BF12BD" w:rsidP="00B674E6">
      <w:pPr>
        <w:pStyle w:val="BodyText"/>
        <w:ind w:firstLine="660"/>
        <w:jc w:val="both"/>
        <w:rPr>
          <w:sz w:val="28"/>
          <w:szCs w:val="28"/>
        </w:rPr>
      </w:pPr>
      <w:r w:rsidRPr="00B674E6">
        <w:rPr>
          <w:rFonts w:eastAsia="MS Gothic" w:hAnsi="MS Gothic" w:cs="MS Gothic" w:hint="eastAsia"/>
          <w:sz w:val="28"/>
          <w:szCs w:val="28"/>
        </w:rPr>
        <w:t>➢</w:t>
      </w:r>
      <w:r w:rsidRPr="00B674E6">
        <w:rPr>
          <w:sz w:val="28"/>
          <w:szCs w:val="28"/>
        </w:rPr>
        <w:t xml:space="preserve"> Гранти на координацію та підтримку (CSA)</w:t>
      </w:r>
    </w:p>
    <w:p w:rsidR="00BF12BD" w:rsidRPr="00B674E6" w:rsidRDefault="00BF12BD" w:rsidP="00B674E6">
      <w:pPr>
        <w:pStyle w:val="BodyText"/>
        <w:numPr>
          <w:ilvl w:val="0"/>
          <w:numId w:val="10"/>
        </w:numPr>
        <w:jc w:val="both"/>
        <w:rPr>
          <w:sz w:val="28"/>
          <w:szCs w:val="28"/>
        </w:rPr>
      </w:pPr>
      <w:r w:rsidRPr="00B674E6">
        <w:rPr>
          <w:sz w:val="28"/>
          <w:szCs w:val="28"/>
        </w:rPr>
        <w:t>перехід до чистої енергії (77 млн євро).</w:t>
      </w:r>
    </w:p>
    <w:p w:rsidR="00BF12BD" w:rsidRPr="00B674E6" w:rsidRDefault="00BF12BD" w:rsidP="00B674E6">
      <w:pPr>
        <w:pStyle w:val="BodyText"/>
        <w:spacing w:line="276" w:lineRule="auto"/>
        <w:ind w:right="108" w:firstLine="660"/>
        <w:jc w:val="both"/>
        <w:rPr>
          <w:sz w:val="28"/>
          <w:szCs w:val="28"/>
        </w:rPr>
      </w:pPr>
      <w:r w:rsidRPr="00B674E6">
        <w:rPr>
          <w:rFonts w:eastAsia="MS Gothic" w:hAnsi="MS Gothic" w:cs="MS Gothic" w:hint="eastAsia"/>
          <w:sz w:val="28"/>
          <w:szCs w:val="28"/>
        </w:rPr>
        <w:t>➢</w:t>
      </w:r>
      <w:r w:rsidRPr="00B674E6">
        <w:rPr>
          <w:sz w:val="28"/>
          <w:szCs w:val="28"/>
        </w:rPr>
        <w:t xml:space="preserve"> Стратегічні комплексні проекти (SNAP/SIP) - (150 млн євро).</w:t>
      </w:r>
    </w:p>
    <w:p w:rsidR="00BF12BD" w:rsidRPr="00B674E6" w:rsidRDefault="00BF12BD" w:rsidP="00B674E6">
      <w:pPr>
        <w:pStyle w:val="BodyText"/>
        <w:spacing w:line="276" w:lineRule="auto"/>
        <w:ind w:right="108" w:firstLine="660"/>
        <w:jc w:val="both"/>
        <w:rPr>
          <w:sz w:val="28"/>
          <w:szCs w:val="28"/>
        </w:rPr>
      </w:pPr>
      <w:r w:rsidRPr="00B674E6">
        <w:rPr>
          <w:rFonts w:eastAsia="MS Gothic" w:hAnsi="MS Gothic" w:cs="MS Gothic" w:hint="eastAsia"/>
          <w:sz w:val="28"/>
          <w:szCs w:val="28"/>
        </w:rPr>
        <w:t>➢</w:t>
      </w:r>
      <w:r w:rsidRPr="00B674E6">
        <w:rPr>
          <w:sz w:val="28"/>
          <w:szCs w:val="28"/>
        </w:rPr>
        <w:t xml:space="preserve"> Технічна допомога для підготовки до SIP і SNAP (TA-PP), посилення</w:t>
      </w:r>
    </w:p>
    <w:p w:rsidR="00BF12BD" w:rsidRPr="00B674E6" w:rsidRDefault="00BF12BD" w:rsidP="00B674E6">
      <w:pPr>
        <w:pStyle w:val="BodyText"/>
        <w:spacing w:line="276" w:lineRule="auto"/>
        <w:ind w:right="108"/>
        <w:jc w:val="both"/>
        <w:rPr>
          <w:sz w:val="28"/>
          <w:szCs w:val="28"/>
        </w:rPr>
      </w:pPr>
      <w:r w:rsidRPr="00B674E6">
        <w:rPr>
          <w:sz w:val="28"/>
          <w:szCs w:val="28"/>
        </w:rPr>
        <w:t>потенціалу або законодавчих і політичних пріоритетів (26 млн євро).</w:t>
      </w:r>
    </w:p>
    <w:p w:rsidR="00BF12BD" w:rsidRPr="00B674E6" w:rsidRDefault="00BF12BD" w:rsidP="00B674E6">
      <w:pPr>
        <w:pStyle w:val="BodyText"/>
        <w:spacing w:line="276" w:lineRule="auto"/>
        <w:ind w:right="108" w:firstLine="720"/>
        <w:jc w:val="both"/>
        <w:rPr>
          <w:sz w:val="28"/>
          <w:szCs w:val="28"/>
        </w:rPr>
      </w:pPr>
      <w:r w:rsidRPr="00B674E6">
        <w:rPr>
          <w:rFonts w:eastAsia="MS Gothic" w:hAnsi="MS Gothic" w:cs="MS Gothic" w:hint="eastAsia"/>
          <w:sz w:val="28"/>
          <w:szCs w:val="28"/>
        </w:rPr>
        <w:t>➢</w:t>
      </w:r>
      <w:r w:rsidRPr="00B674E6">
        <w:rPr>
          <w:sz w:val="28"/>
          <w:szCs w:val="28"/>
        </w:rPr>
        <w:t xml:space="preserve"> Конкретні операційні грантові угоди для неурядових громадських організацій (14 млн. євро). Ознайомтеся з повною інформацією про всі типи грантів для проектів LIFE 2024, інструкціями з підготовки заявок, термінами подачі та іншою інформацією можна на веб-сторінці конкурсу пропозицій LIFE 2024: </w:t>
      </w:r>
      <w:hyperlink r:id="rId5" w:history="1">
        <w:r w:rsidRPr="00B674E6">
          <w:rPr>
            <w:rStyle w:val="Hyperlink"/>
            <w:sz w:val="28"/>
            <w:szCs w:val="28"/>
          </w:rPr>
          <w:t>https://cinea.ec.europa.eu/programmes/life/life-calls-proposals-2024_en#anticipatedsubmission-deadlines</w:t>
        </w:r>
      </w:hyperlink>
      <w:r w:rsidRPr="00B674E6">
        <w:rPr>
          <w:sz w:val="28"/>
          <w:szCs w:val="28"/>
        </w:rPr>
        <w:t>.</w:t>
      </w:r>
    </w:p>
    <w:p w:rsidR="00BF12BD" w:rsidRPr="00B674E6" w:rsidRDefault="00BF12BD" w:rsidP="00B674E6">
      <w:pPr>
        <w:pStyle w:val="BodyText"/>
        <w:spacing w:line="276" w:lineRule="auto"/>
        <w:ind w:right="108" w:firstLine="720"/>
        <w:jc w:val="both"/>
        <w:rPr>
          <w:sz w:val="28"/>
          <w:szCs w:val="28"/>
        </w:rPr>
      </w:pPr>
      <w:r w:rsidRPr="00B674E6">
        <w:rPr>
          <w:sz w:val="28"/>
          <w:szCs w:val="28"/>
        </w:rPr>
        <w:t>Актуальну інформацію, включаючи програму, деталі для реєстрації можна знайти за цим посиланням:</w:t>
      </w:r>
    </w:p>
    <w:p w:rsidR="00BF12BD" w:rsidRPr="00B674E6" w:rsidRDefault="00BF12BD" w:rsidP="00B674E6">
      <w:pPr>
        <w:pStyle w:val="BodyText"/>
        <w:spacing w:line="276" w:lineRule="auto"/>
        <w:ind w:right="108" w:firstLine="720"/>
        <w:jc w:val="both"/>
        <w:rPr>
          <w:sz w:val="28"/>
          <w:szCs w:val="28"/>
        </w:rPr>
      </w:pPr>
      <w:hyperlink r:id="rId6">
        <w:r w:rsidRPr="00B674E6">
          <w:rPr>
            <w:color w:val="0000FF"/>
            <w:sz w:val="28"/>
            <w:szCs w:val="28"/>
            <w:u w:val="single" w:color="0000FF"/>
          </w:rPr>
          <w:t>https://vo-event.swoogo.com/eu-life-info-days-2024/Home</w:t>
        </w:r>
      </w:hyperlink>
      <w:r w:rsidRPr="00B674E6">
        <w:rPr>
          <w:sz w:val="28"/>
          <w:szCs w:val="28"/>
        </w:rPr>
        <w:t>.</w:t>
      </w:r>
    </w:p>
    <w:p w:rsidR="00BF12BD" w:rsidRPr="00B674E6" w:rsidRDefault="00BF12BD" w:rsidP="00B674E6">
      <w:pPr>
        <w:pStyle w:val="BodyText"/>
        <w:spacing w:line="276" w:lineRule="auto"/>
        <w:ind w:right="108" w:firstLine="720"/>
        <w:jc w:val="both"/>
        <w:rPr>
          <w:sz w:val="28"/>
          <w:szCs w:val="28"/>
        </w:rPr>
      </w:pPr>
      <w:r w:rsidRPr="00B674E6">
        <w:rPr>
          <w:sz w:val="28"/>
          <w:szCs w:val="28"/>
        </w:rPr>
        <w:t>Попередні записи можна буде переглянути на YouTube-каналі LIFE:</w:t>
      </w:r>
    </w:p>
    <w:p w:rsidR="00BF12BD" w:rsidRPr="00B674E6" w:rsidRDefault="00BF12BD" w:rsidP="00B674E6">
      <w:pPr>
        <w:pStyle w:val="BodyText"/>
        <w:spacing w:line="276" w:lineRule="auto"/>
        <w:ind w:right="108" w:firstLine="720"/>
        <w:jc w:val="both"/>
        <w:rPr>
          <w:sz w:val="28"/>
          <w:szCs w:val="28"/>
        </w:rPr>
      </w:pPr>
      <w:hyperlink r:id="rId7" w:history="1">
        <w:r w:rsidRPr="00B674E6">
          <w:rPr>
            <w:rStyle w:val="Hyperlink"/>
            <w:sz w:val="28"/>
            <w:szCs w:val="28"/>
          </w:rPr>
          <w:t>https://www.youtube.com/playlist?list=PLKuLiQigqrClTCdN5jWZ0w0ZBCApKOp80</w:t>
        </w:r>
      </w:hyperlink>
      <w:r w:rsidRPr="00B674E6">
        <w:rPr>
          <w:sz w:val="28"/>
          <w:szCs w:val="28"/>
        </w:rPr>
        <w:t>.</w:t>
      </w:r>
    </w:p>
    <w:sectPr w:rsidR="00BF12BD" w:rsidRPr="00B674E6" w:rsidSect="000D2D00">
      <w:pgSz w:w="11910" w:h="16840"/>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A3190"/>
    <w:multiLevelType w:val="hybridMultilevel"/>
    <w:tmpl w:val="4C26CA6A"/>
    <w:lvl w:ilvl="0" w:tplc="391C727C">
      <w:start w:val="1"/>
      <w:numFmt w:val="bullet"/>
      <w:lvlText w:val=""/>
      <w:lvlJc w:val="left"/>
      <w:pPr>
        <w:tabs>
          <w:tab w:val="num" w:pos="1020"/>
        </w:tabs>
        <w:ind w:left="1020" w:hanging="360"/>
      </w:pPr>
      <w:rPr>
        <w:rFonts w:ascii="Symbol" w:hAnsi="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1">
    <w:nsid w:val="44AA5D74"/>
    <w:multiLevelType w:val="multilevel"/>
    <w:tmpl w:val="A5B481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4B106951"/>
    <w:multiLevelType w:val="hybridMultilevel"/>
    <w:tmpl w:val="FFFFFFFF"/>
    <w:lvl w:ilvl="0" w:tplc="0B145FF0">
      <w:numFmt w:val="bullet"/>
      <w:lvlText w:val="➢"/>
      <w:lvlJc w:val="left"/>
      <w:pPr>
        <w:ind w:left="600" w:hanging="315"/>
      </w:pPr>
      <w:rPr>
        <w:rFonts w:ascii="Segoe UI Symbol" w:eastAsia="Times New Roman" w:hAnsi="Segoe UI Symbol" w:hint="default"/>
        <w:w w:val="100"/>
        <w:sz w:val="26"/>
        <w:szCs w:val="26"/>
      </w:rPr>
    </w:lvl>
    <w:lvl w:ilvl="1" w:tplc="16344770">
      <w:numFmt w:val="bullet"/>
      <w:lvlText w:val="•"/>
      <w:lvlJc w:val="left"/>
      <w:pPr>
        <w:ind w:left="1589" w:hanging="315"/>
      </w:pPr>
      <w:rPr>
        <w:rFonts w:hint="default"/>
      </w:rPr>
    </w:lvl>
    <w:lvl w:ilvl="2" w:tplc="F014F30C">
      <w:numFmt w:val="bullet"/>
      <w:lvlText w:val="•"/>
      <w:lvlJc w:val="left"/>
      <w:pPr>
        <w:ind w:left="2578" w:hanging="315"/>
      </w:pPr>
      <w:rPr>
        <w:rFonts w:hint="default"/>
      </w:rPr>
    </w:lvl>
    <w:lvl w:ilvl="3" w:tplc="A5543A02">
      <w:numFmt w:val="bullet"/>
      <w:lvlText w:val="•"/>
      <w:lvlJc w:val="left"/>
      <w:pPr>
        <w:ind w:left="3567" w:hanging="315"/>
      </w:pPr>
      <w:rPr>
        <w:rFonts w:hint="default"/>
      </w:rPr>
    </w:lvl>
    <w:lvl w:ilvl="4" w:tplc="AE9AB87A">
      <w:numFmt w:val="bullet"/>
      <w:lvlText w:val="•"/>
      <w:lvlJc w:val="left"/>
      <w:pPr>
        <w:ind w:left="4556" w:hanging="315"/>
      </w:pPr>
      <w:rPr>
        <w:rFonts w:hint="default"/>
      </w:rPr>
    </w:lvl>
    <w:lvl w:ilvl="5" w:tplc="9C388DAC">
      <w:numFmt w:val="bullet"/>
      <w:lvlText w:val="•"/>
      <w:lvlJc w:val="left"/>
      <w:pPr>
        <w:ind w:left="5545" w:hanging="315"/>
      </w:pPr>
      <w:rPr>
        <w:rFonts w:hint="default"/>
      </w:rPr>
    </w:lvl>
    <w:lvl w:ilvl="6" w:tplc="9CA4BA5A">
      <w:numFmt w:val="bullet"/>
      <w:lvlText w:val="•"/>
      <w:lvlJc w:val="left"/>
      <w:pPr>
        <w:ind w:left="6534" w:hanging="315"/>
      </w:pPr>
      <w:rPr>
        <w:rFonts w:hint="default"/>
      </w:rPr>
    </w:lvl>
    <w:lvl w:ilvl="7" w:tplc="BEAC7F0A">
      <w:numFmt w:val="bullet"/>
      <w:lvlText w:val="•"/>
      <w:lvlJc w:val="left"/>
      <w:pPr>
        <w:ind w:left="7523" w:hanging="315"/>
      </w:pPr>
      <w:rPr>
        <w:rFonts w:hint="default"/>
      </w:rPr>
    </w:lvl>
    <w:lvl w:ilvl="8" w:tplc="31D2A202">
      <w:numFmt w:val="bullet"/>
      <w:lvlText w:val="•"/>
      <w:lvlJc w:val="left"/>
      <w:pPr>
        <w:ind w:left="8512" w:hanging="315"/>
      </w:pPr>
      <w:rPr>
        <w:rFonts w:hint="default"/>
      </w:rPr>
    </w:lvl>
  </w:abstractNum>
  <w:abstractNum w:abstractNumId="3">
    <w:nsid w:val="4ECE0229"/>
    <w:multiLevelType w:val="hybridMultilevel"/>
    <w:tmpl w:val="FFFFFFFF"/>
    <w:lvl w:ilvl="0" w:tplc="2F2E3EA4">
      <w:numFmt w:val="bullet"/>
      <w:lvlText w:val="•"/>
      <w:lvlJc w:val="left"/>
      <w:pPr>
        <w:ind w:left="1322" w:hanging="156"/>
      </w:pPr>
      <w:rPr>
        <w:rFonts w:ascii="Times New Roman" w:eastAsia="Times New Roman" w:hAnsi="Times New Roman" w:hint="default"/>
        <w:w w:val="100"/>
        <w:sz w:val="26"/>
        <w:szCs w:val="26"/>
      </w:rPr>
    </w:lvl>
    <w:lvl w:ilvl="1" w:tplc="8B94211C">
      <w:numFmt w:val="bullet"/>
      <w:lvlText w:val="•"/>
      <w:lvlJc w:val="left"/>
      <w:pPr>
        <w:ind w:left="2237" w:hanging="156"/>
      </w:pPr>
      <w:rPr>
        <w:rFonts w:hint="default"/>
      </w:rPr>
    </w:lvl>
    <w:lvl w:ilvl="2" w:tplc="8C226C58">
      <w:numFmt w:val="bullet"/>
      <w:lvlText w:val="•"/>
      <w:lvlJc w:val="left"/>
      <w:pPr>
        <w:ind w:left="3154" w:hanging="156"/>
      </w:pPr>
      <w:rPr>
        <w:rFonts w:hint="default"/>
      </w:rPr>
    </w:lvl>
    <w:lvl w:ilvl="3" w:tplc="0442A012">
      <w:numFmt w:val="bullet"/>
      <w:lvlText w:val="•"/>
      <w:lvlJc w:val="left"/>
      <w:pPr>
        <w:ind w:left="4071" w:hanging="156"/>
      </w:pPr>
      <w:rPr>
        <w:rFonts w:hint="default"/>
      </w:rPr>
    </w:lvl>
    <w:lvl w:ilvl="4" w:tplc="4D9A7A3A">
      <w:numFmt w:val="bullet"/>
      <w:lvlText w:val="•"/>
      <w:lvlJc w:val="left"/>
      <w:pPr>
        <w:ind w:left="4988" w:hanging="156"/>
      </w:pPr>
      <w:rPr>
        <w:rFonts w:hint="default"/>
      </w:rPr>
    </w:lvl>
    <w:lvl w:ilvl="5" w:tplc="7A6E7286">
      <w:numFmt w:val="bullet"/>
      <w:lvlText w:val="•"/>
      <w:lvlJc w:val="left"/>
      <w:pPr>
        <w:ind w:left="5905" w:hanging="156"/>
      </w:pPr>
      <w:rPr>
        <w:rFonts w:hint="default"/>
      </w:rPr>
    </w:lvl>
    <w:lvl w:ilvl="6" w:tplc="DC36B69C">
      <w:numFmt w:val="bullet"/>
      <w:lvlText w:val="•"/>
      <w:lvlJc w:val="left"/>
      <w:pPr>
        <w:ind w:left="6822" w:hanging="156"/>
      </w:pPr>
      <w:rPr>
        <w:rFonts w:hint="default"/>
      </w:rPr>
    </w:lvl>
    <w:lvl w:ilvl="7" w:tplc="07A0E0AC">
      <w:numFmt w:val="bullet"/>
      <w:lvlText w:val="•"/>
      <w:lvlJc w:val="left"/>
      <w:pPr>
        <w:ind w:left="7739" w:hanging="156"/>
      </w:pPr>
      <w:rPr>
        <w:rFonts w:hint="default"/>
      </w:rPr>
    </w:lvl>
    <w:lvl w:ilvl="8" w:tplc="D6901260">
      <w:numFmt w:val="bullet"/>
      <w:lvlText w:val="•"/>
      <w:lvlJc w:val="left"/>
      <w:pPr>
        <w:ind w:left="8656" w:hanging="156"/>
      </w:pPr>
      <w:rPr>
        <w:rFonts w:hint="default"/>
      </w:rPr>
    </w:lvl>
  </w:abstractNum>
  <w:abstractNum w:abstractNumId="4">
    <w:nsid w:val="6600490A"/>
    <w:multiLevelType w:val="hybridMultilevel"/>
    <w:tmpl w:val="A5B48128"/>
    <w:lvl w:ilvl="0" w:tplc="838E85B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6AFE5670"/>
    <w:multiLevelType w:val="hybridMultilevel"/>
    <w:tmpl w:val="7FCAE3F4"/>
    <w:lvl w:ilvl="0" w:tplc="391C727C">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6">
    <w:nsid w:val="6EE9309B"/>
    <w:multiLevelType w:val="multilevel"/>
    <w:tmpl w:val="A7DAC18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71093349"/>
    <w:multiLevelType w:val="hybridMultilevel"/>
    <w:tmpl w:val="85B62252"/>
    <w:lvl w:ilvl="0" w:tplc="391C727C">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8">
    <w:nsid w:val="74C209C7"/>
    <w:multiLevelType w:val="hybridMultilevel"/>
    <w:tmpl w:val="FFFFFFFF"/>
    <w:lvl w:ilvl="0" w:tplc="74FA170C">
      <w:numFmt w:val="bullet"/>
      <w:lvlText w:val="➢"/>
      <w:lvlJc w:val="left"/>
      <w:pPr>
        <w:ind w:left="1546" w:hanging="315"/>
      </w:pPr>
      <w:rPr>
        <w:rFonts w:ascii="Segoe UI Symbol" w:eastAsia="Times New Roman" w:hAnsi="Segoe UI Symbol" w:hint="default"/>
        <w:w w:val="100"/>
        <w:sz w:val="26"/>
        <w:szCs w:val="26"/>
      </w:rPr>
    </w:lvl>
    <w:lvl w:ilvl="1" w:tplc="9D868E4A">
      <w:numFmt w:val="bullet"/>
      <w:lvlText w:val="•"/>
      <w:lvlJc w:val="left"/>
      <w:pPr>
        <w:ind w:left="2435" w:hanging="315"/>
      </w:pPr>
      <w:rPr>
        <w:rFonts w:hint="default"/>
      </w:rPr>
    </w:lvl>
    <w:lvl w:ilvl="2" w:tplc="4D3C82B8">
      <w:numFmt w:val="bullet"/>
      <w:lvlText w:val="•"/>
      <w:lvlJc w:val="left"/>
      <w:pPr>
        <w:ind w:left="3330" w:hanging="315"/>
      </w:pPr>
      <w:rPr>
        <w:rFonts w:hint="default"/>
      </w:rPr>
    </w:lvl>
    <w:lvl w:ilvl="3" w:tplc="5ADAEF7C">
      <w:numFmt w:val="bullet"/>
      <w:lvlText w:val="•"/>
      <w:lvlJc w:val="left"/>
      <w:pPr>
        <w:ind w:left="4225" w:hanging="315"/>
      </w:pPr>
      <w:rPr>
        <w:rFonts w:hint="default"/>
      </w:rPr>
    </w:lvl>
    <w:lvl w:ilvl="4" w:tplc="08C27164">
      <w:numFmt w:val="bullet"/>
      <w:lvlText w:val="•"/>
      <w:lvlJc w:val="left"/>
      <w:pPr>
        <w:ind w:left="5120" w:hanging="315"/>
      </w:pPr>
      <w:rPr>
        <w:rFonts w:hint="default"/>
      </w:rPr>
    </w:lvl>
    <w:lvl w:ilvl="5" w:tplc="76E6B29E">
      <w:numFmt w:val="bullet"/>
      <w:lvlText w:val="•"/>
      <w:lvlJc w:val="left"/>
      <w:pPr>
        <w:ind w:left="6015" w:hanging="315"/>
      </w:pPr>
      <w:rPr>
        <w:rFonts w:hint="default"/>
      </w:rPr>
    </w:lvl>
    <w:lvl w:ilvl="6" w:tplc="CA7469B4">
      <w:numFmt w:val="bullet"/>
      <w:lvlText w:val="•"/>
      <w:lvlJc w:val="left"/>
      <w:pPr>
        <w:ind w:left="6910" w:hanging="315"/>
      </w:pPr>
      <w:rPr>
        <w:rFonts w:hint="default"/>
      </w:rPr>
    </w:lvl>
    <w:lvl w:ilvl="7" w:tplc="B588B116">
      <w:numFmt w:val="bullet"/>
      <w:lvlText w:val="•"/>
      <w:lvlJc w:val="left"/>
      <w:pPr>
        <w:ind w:left="7805" w:hanging="315"/>
      </w:pPr>
      <w:rPr>
        <w:rFonts w:hint="default"/>
      </w:rPr>
    </w:lvl>
    <w:lvl w:ilvl="8" w:tplc="27E267E8">
      <w:numFmt w:val="bullet"/>
      <w:lvlText w:val="•"/>
      <w:lvlJc w:val="left"/>
      <w:pPr>
        <w:ind w:left="8700" w:hanging="315"/>
      </w:pPr>
      <w:rPr>
        <w:rFonts w:hint="default"/>
      </w:rPr>
    </w:lvl>
  </w:abstractNum>
  <w:abstractNum w:abstractNumId="9">
    <w:nsid w:val="7BF82DBC"/>
    <w:multiLevelType w:val="hybridMultilevel"/>
    <w:tmpl w:val="A7DAC180"/>
    <w:lvl w:ilvl="0" w:tplc="391C72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3"/>
  </w:num>
  <w:num w:numId="4">
    <w:abstractNumId w:val="4"/>
  </w:num>
  <w:num w:numId="5">
    <w:abstractNumId w:val="1"/>
  </w:num>
  <w:num w:numId="6">
    <w:abstractNumId w:val="5"/>
  </w:num>
  <w:num w:numId="7">
    <w:abstractNumId w:val="9"/>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946"/>
    <w:rsid w:val="000D2D00"/>
    <w:rsid w:val="00286C91"/>
    <w:rsid w:val="002A3F53"/>
    <w:rsid w:val="002E5714"/>
    <w:rsid w:val="00735AB1"/>
    <w:rsid w:val="007F27B9"/>
    <w:rsid w:val="009A69EF"/>
    <w:rsid w:val="009A7DFF"/>
    <w:rsid w:val="00A8154F"/>
    <w:rsid w:val="00B674E6"/>
    <w:rsid w:val="00B869B5"/>
    <w:rsid w:val="00BF12BD"/>
    <w:rsid w:val="00BF5CB7"/>
    <w:rsid w:val="00C85F29"/>
    <w:rsid w:val="00CB5946"/>
    <w:rsid w:val="00CF6CA2"/>
    <w:rsid w:val="00DF6EDB"/>
    <w:rsid w:val="00EA090C"/>
    <w:rsid w:val="00EF138A"/>
    <w:rsid w:val="00EF42FF"/>
    <w:rsid w:val="00F976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46"/>
    <w:pPr>
      <w:widowControl w:val="0"/>
      <w:autoSpaceDE w:val="0"/>
      <w:autoSpaceDN w:val="0"/>
    </w:pPr>
    <w:rPr>
      <w:rFonts w:ascii="Times New Roman" w:eastAsia="Times New Roman" w:hAnsi="Times New Roman"/>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5946"/>
    <w:rPr>
      <w:sz w:val="26"/>
      <w:szCs w:val="26"/>
    </w:rPr>
  </w:style>
  <w:style w:type="character" w:customStyle="1" w:styleId="BodyTextChar">
    <w:name w:val="Body Text Char"/>
    <w:basedOn w:val="DefaultParagraphFont"/>
    <w:link w:val="BodyText"/>
    <w:uiPriority w:val="99"/>
    <w:semiHidden/>
    <w:locked/>
    <w:rsid w:val="00EF138A"/>
    <w:rPr>
      <w:rFonts w:ascii="Times New Roman" w:hAnsi="Times New Roman" w:cs="Times New Roman"/>
      <w:lang w:val="en-US" w:eastAsia="en-US"/>
    </w:rPr>
  </w:style>
  <w:style w:type="paragraph" w:styleId="Title">
    <w:name w:val="Title"/>
    <w:basedOn w:val="Normal"/>
    <w:link w:val="TitleChar"/>
    <w:uiPriority w:val="99"/>
    <w:qFormat/>
    <w:rsid w:val="00CB5946"/>
    <w:pPr>
      <w:spacing w:before="4"/>
      <w:ind w:left="2082" w:right="1212"/>
      <w:jc w:val="center"/>
    </w:pPr>
    <w:rPr>
      <w:b/>
      <w:bCs/>
      <w:sz w:val="28"/>
      <w:szCs w:val="28"/>
    </w:rPr>
  </w:style>
  <w:style w:type="character" w:customStyle="1" w:styleId="TitleChar">
    <w:name w:val="Title Char"/>
    <w:basedOn w:val="DefaultParagraphFont"/>
    <w:link w:val="Title"/>
    <w:uiPriority w:val="99"/>
    <w:locked/>
    <w:rsid w:val="00EF138A"/>
    <w:rPr>
      <w:rFonts w:ascii="Cambria" w:hAnsi="Cambria" w:cs="Cambria"/>
      <w:b/>
      <w:bCs/>
      <w:kern w:val="28"/>
      <w:sz w:val="32"/>
      <w:szCs w:val="32"/>
      <w:lang w:val="en-US" w:eastAsia="en-US"/>
    </w:rPr>
  </w:style>
  <w:style w:type="paragraph" w:styleId="ListParagraph">
    <w:name w:val="List Paragraph"/>
    <w:basedOn w:val="Normal"/>
    <w:uiPriority w:val="99"/>
    <w:qFormat/>
    <w:rsid w:val="00CB5946"/>
    <w:pPr>
      <w:spacing w:before="45"/>
      <w:ind w:left="1322" w:hanging="156"/>
    </w:pPr>
  </w:style>
  <w:style w:type="paragraph" w:customStyle="1" w:styleId="TableParagraph">
    <w:name w:val="Table Paragraph"/>
    <w:basedOn w:val="Normal"/>
    <w:uiPriority w:val="99"/>
    <w:rsid w:val="00CB5946"/>
  </w:style>
  <w:style w:type="character" w:styleId="Hyperlink">
    <w:name w:val="Hyperlink"/>
    <w:basedOn w:val="DefaultParagraphFont"/>
    <w:uiPriority w:val="99"/>
    <w:rsid w:val="00A815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playlist?list=PLKuLiQigqrClTCdN5jWZ0w0ZBCApKOp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event.swoogo.com/eu-life-info-days-2024/Home" TargetMode="External"/><Relationship Id="rId5" Type="http://schemas.openxmlformats.org/officeDocument/2006/relationships/hyperlink" Target="https://cinea.ec.europa.eu/programmes/life/life-calls-proposals-2024_en#anticipatedsubmission-deadlin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Pages>
  <Words>352</Words>
  <Characters>2009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U7076</dc:creator>
  <cp:keywords/>
  <dc:description/>
  <cp:lastModifiedBy>Пользователь Windows</cp:lastModifiedBy>
  <cp:revision>4</cp:revision>
  <dcterms:created xsi:type="dcterms:W3CDTF">2024-05-01T06:35:00Z</dcterms:created>
  <dcterms:modified xsi:type="dcterms:W3CDTF">2024-05-01T06:59:00Z</dcterms:modified>
</cp:coreProperties>
</file>