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E4" w:rsidRPr="001F634B" w:rsidRDefault="009A668E" w:rsidP="009A668E">
      <w:pPr>
        <w:tabs>
          <w:tab w:val="left" w:pos="0"/>
          <w:tab w:val="center" w:pos="468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6"/>
          <w:lang w:val="uk-UA"/>
        </w:rPr>
      </w:pPr>
      <w:r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>О</w:t>
      </w:r>
      <w:r w:rsidR="007373E4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>РІЄНТОВНИЙ</w:t>
      </w:r>
      <w:r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 xml:space="preserve"> </w:t>
      </w:r>
      <w:r w:rsidR="007373E4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 xml:space="preserve">ПЛАН РОБОТИ </w:t>
      </w:r>
    </w:p>
    <w:p w:rsidR="009A668E" w:rsidRPr="001F634B" w:rsidRDefault="00AC06D0" w:rsidP="009A668E">
      <w:pPr>
        <w:tabs>
          <w:tab w:val="left" w:pos="0"/>
          <w:tab w:val="center" w:pos="468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8"/>
          <w:szCs w:val="26"/>
          <w:lang w:val="uk-UA"/>
        </w:rPr>
      </w:pPr>
      <w:r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>щодо</w:t>
      </w:r>
      <w:r w:rsidR="007373E4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 xml:space="preserve"> внесення змін</w:t>
      </w:r>
      <w:r w:rsidR="009A668E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 xml:space="preserve"> </w:t>
      </w:r>
      <w:r w:rsidR="007373E4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 xml:space="preserve">до </w:t>
      </w:r>
      <w:r w:rsidR="009A668E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>Стратегії регіонального розвитку Хмельницької області на 20</w:t>
      </w:r>
      <w:r w:rsidR="007373E4" w:rsidRP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>21-2027 роки (далі – Стратегія)</w:t>
      </w:r>
      <w:r w:rsidR="001F634B">
        <w:rPr>
          <w:rFonts w:ascii="Times New Roman" w:hAnsi="Times New Roman"/>
          <w:b/>
          <w:color w:val="000000"/>
          <w:sz w:val="28"/>
          <w:szCs w:val="26"/>
          <w:lang w:val="uk-UA"/>
        </w:rPr>
        <w:t xml:space="preserve"> </w:t>
      </w:r>
    </w:p>
    <w:p w:rsidR="009A668E" w:rsidRPr="008133A8" w:rsidRDefault="009A668E" w:rsidP="009A668E">
      <w:pPr>
        <w:spacing w:after="0" w:line="240" w:lineRule="auto"/>
        <w:rPr>
          <w:sz w:val="26"/>
          <w:szCs w:val="26"/>
          <w:lang w:val="uk-UA"/>
        </w:rPr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3"/>
        <w:gridCol w:w="7983"/>
      </w:tblGrid>
      <w:tr w:rsidR="009A668E" w:rsidRPr="001F634B" w:rsidTr="001F634B">
        <w:tc>
          <w:tcPr>
            <w:tcW w:w="1403" w:type="dxa"/>
            <w:shd w:val="clear" w:color="auto" w:fill="BFBFBF" w:themeFill="background1" w:themeFillShade="BF"/>
          </w:tcPr>
          <w:p w:rsidR="009A668E" w:rsidRPr="001F634B" w:rsidRDefault="009A668E" w:rsidP="003E534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Терміни</w:t>
            </w:r>
            <w:proofErr w:type="spellEnd"/>
          </w:p>
        </w:tc>
        <w:tc>
          <w:tcPr>
            <w:tcW w:w="7983" w:type="dxa"/>
            <w:shd w:val="clear" w:color="auto" w:fill="BFBFBF" w:themeFill="background1" w:themeFillShade="BF"/>
            <w:vAlign w:val="center"/>
          </w:tcPr>
          <w:p w:rsidR="009A668E" w:rsidRPr="001F634B" w:rsidRDefault="009A668E" w:rsidP="003E5349">
            <w:pPr>
              <w:tabs>
                <w:tab w:val="left" w:pos="0"/>
                <w:tab w:val="center" w:pos="4680"/>
                <w:tab w:val="left" w:pos="5040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spellStart"/>
            <w:r w:rsidRPr="001F634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Етапи</w:t>
            </w:r>
            <w:proofErr w:type="spellEnd"/>
            <w:r w:rsidRPr="001F634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та заходи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7373E4">
            <w:pPr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373E4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верес</w:t>
            </w:r>
            <w:r w:rsidR="00D90F0A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ень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D90F0A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9A668E" w:rsidP="001F634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1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ідготовчий</w:t>
            </w:r>
            <w:proofErr w:type="spellEnd"/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етап</w:t>
            </w:r>
            <w:proofErr w:type="spellEnd"/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D90F0A" w:rsidRPr="001F634B" w:rsidRDefault="007373E4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р</w:t>
            </w:r>
            <w:r w:rsidR="00D90F0A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озпорядження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начальника</w:t>
            </w:r>
            <w:r w:rsidR="00D90F0A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Хмельницької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обласної військової адміністрації</w:t>
            </w:r>
            <w:r w:rsidR="00D90F0A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«Про утворення робочої групи з оновлення Стратегії розвитку Хмельницької області на 2021-2027 роки та розробки Плану заходів з її реалізації».</w:t>
            </w:r>
          </w:p>
          <w:p w:rsidR="009A668E" w:rsidRPr="001F634B" w:rsidRDefault="00D90F0A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повідомлення </w:t>
            </w:r>
            <w:r w:rsidR="007373E4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через медіа та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офіційному веб-сайті </w:t>
            </w:r>
            <w:r w:rsidR="007373E4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обласної військової адміністрації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початок </w:t>
            </w:r>
            <w:r w:rsidR="007373E4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роботи над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оновлення</w:t>
            </w:r>
            <w:r w:rsidR="007373E4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Стратегії та розробки Плану заходів</w:t>
            </w:r>
            <w:r w:rsidR="007373E4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7373E4">
            <w:pPr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373E4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жовте</w:t>
            </w:r>
            <w:r w:rsidR="00D90F0A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нь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D90F0A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743068" w:rsidP="001F634B">
            <w:pPr>
              <w:autoSpaceDE w:val="0"/>
              <w:autoSpaceDN w:val="0"/>
              <w:adjustRightInd w:val="0"/>
              <w:spacing w:after="0" w:line="240" w:lineRule="auto"/>
              <w:ind w:left="57" w:right="11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 Проведення з</w:t>
            </w:r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асідання </w:t>
            </w:r>
            <w:r w:rsidR="007373E4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робочої групи для обговорення особливостей роботи над проєктом оновленої Стратегії</w:t>
            </w:r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9A668E" w:rsidRPr="001F634B" w:rsidRDefault="009A668E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Обговорення </w:t>
            </w:r>
            <w:r w:rsidR="009259BF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необхідності врахування положень актуалізованої Державної стратегії регіонального розвитку на 2021-2027 роки, </w:t>
            </w:r>
            <w:r w:rsidR="007373E4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етапів та термінів</w:t>
            </w:r>
            <w:r w:rsidR="009259BF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оновлення Стратегії.</w:t>
            </w:r>
          </w:p>
          <w:p w:rsidR="009A668E" w:rsidRPr="001F634B" w:rsidRDefault="009259BF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743068" w:rsidRPr="001F634B">
              <w:rPr>
                <w:rFonts w:ascii="Times New Roman" w:eastAsiaTheme="minorHAnsi" w:hAnsi="Times New Roman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згодження </w:t>
            </w:r>
            <w:r w:rsidRPr="001F634B">
              <w:rPr>
                <w:rFonts w:ascii="Times New Roman" w:eastAsiaTheme="minorHAnsi" w:hAnsi="Times New Roman"/>
                <w:kern w:val="2"/>
                <w:sz w:val="24"/>
                <w:szCs w:val="24"/>
                <w:lang w:val="uk-UA" w:eastAsia="en-US"/>
                <w14:ligatures w14:val="standardContextual"/>
              </w:rPr>
              <w:t>плану роботи з оновлення</w:t>
            </w:r>
            <w:r w:rsidR="00743068" w:rsidRPr="001F634B">
              <w:rPr>
                <w:rFonts w:ascii="Times New Roman" w:eastAsiaTheme="minorHAnsi" w:hAnsi="Times New Roman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Стратегі</w:t>
            </w:r>
            <w:r w:rsidRPr="001F634B">
              <w:rPr>
                <w:rFonts w:ascii="Times New Roman" w:eastAsiaTheme="minorHAnsi" w:hAnsi="Times New Roman"/>
                <w:kern w:val="2"/>
                <w:sz w:val="24"/>
                <w:szCs w:val="24"/>
                <w:lang w:val="uk-UA" w:eastAsia="en-US"/>
                <w14:ligatures w14:val="standardContextual"/>
              </w:rPr>
              <w:t>ї.</w:t>
            </w:r>
          </w:p>
          <w:p w:rsidR="009A668E" w:rsidRPr="001F634B" w:rsidRDefault="009A668E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процесу </w:t>
            </w:r>
            <w:r w:rsidR="009259BF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збору даних та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опису основних тенденцій та проблем соціально-економічного розвитку Хмельницької області.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9259B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43068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жовтень</w:t>
            </w:r>
            <w:r w:rsidR="009259BF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-листопад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743068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743068" w:rsidRPr="001F634B" w:rsidRDefault="009A668E" w:rsidP="001F634B">
            <w:pPr>
              <w:autoSpaceDE w:val="0"/>
              <w:autoSpaceDN w:val="0"/>
              <w:adjustRightInd w:val="0"/>
              <w:spacing w:after="0" w:line="240" w:lineRule="auto"/>
              <w:ind w:left="57" w:right="11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2. </w:t>
            </w:r>
            <w:r w:rsidR="00A837C4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</w:t>
            </w:r>
            <w:r w:rsidR="009259BF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обот</w:t>
            </w:r>
            <w:r w:rsidR="00A837C4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</w:t>
            </w:r>
            <w:r w:rsidR="009259BF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над основними складовими проєкту оновленої Стратегії</w:t>
            </w:r>
            <w:r w:rsidR="00743068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9A668E" w:rsidRPr="001F634B" w:rsidRDefault="009A668E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Збір даних та проведення опису основних тенденцій та проблем соціально-економічного розвитку області</w:t>
            </w:r>
            <w:r w:rsidR="00AC06D0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43B62" w:rsidRPr="001F634B" w:rsidRDefault="00C43B62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</w:t>
            </w:r>
            <w:r w:rsidR="009A668E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зовніш</w:t>
            </w:r>
            <w:r w:rsidR="00EB76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іх</w:t>
            </w:r>
            <w:r w:rsidR="009A668E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та внутрішніх викликів, що впливають на регіональний розвиток.</w:t>
            </w:r>
          </w:p>
          <w:p w:rsidR="009A668E" w:rsidRPr="001F634B" w:rsidRDefault="00C43B62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структури та системи цілей Стратегії з урахуванням розвитку територіальних громад, функціональних типів територій з використанням територіально-орієнтованого підходу та </w:t>
            </w:r>
            <w:proofErr w:type="spellStart"/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смарт-спеціалізації</w:t>
            </w:r>
            <w:proofErr w:type="spellEnd"/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, оцінки гендерного впливу.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E106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43068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листопад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743068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9A668E" w:rsidP="001F634B">
            <w:pPr>
              <w:autoSpaceDE w:val="0"/>
              <w:autoSpaceDN w:val="0"/>
              <w:adjustRightInd w:val="0"/>
              <w:spacing w:after="0" w:line="240" w:lineRule="auto"/>
              <w:ind w:left="57" w:right="11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="00E10621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Проведення засідання робочої групи:</w:t>
            </w:r>
          </w:p>
          <w:p w:rsidR="009A668E" w:rsidRPr="001F634B" w:rsidRDefault="00E10621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 напрацьованих узагальнених пропозицій.</w:t>
            </w:r>
          </w:p>
          <w:p w:rsidR="001F634B" w:rsidRPr="001F634B" w:rsidRDefault="00E10621" w:rsidP="00E7667A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 стратегічного бачення розвитку області.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E1062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листопад</w:t>
            </w:r>
            <w:r w:rsidR="00E10621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-грудень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B26598" w:rsidP="001F634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10621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Підготовка проєкту</w:t>
            </w:r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оновленої </w:t>
            </w:r>
            <w:proofErr w:type="spellStart"/>
            <w:r w:rsidR="00E10621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Стратегії</w:t>
            </w:r>
            <w:proofErr w:type="spellEnd"/>
            <w:r w:rsidR="00E10621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:rsidR="00E10621" w:rsidRPr="001F634B" w:rsidRDefault="00E10621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оновленого стратегічного бачення розвитку області.</w:t>
            </w:r>
          </w:p>
          <w:p w:rsidR="00E10621" w:rsidRPr="001F634B" w:rsidRDefault="00E10621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Опис стратегічних, оперативних цілей та основних завдань, що відображатимуть пріоритети розвитку регіону та будуть спрямовані на досягнення стратегічної мети на відповідний період.</w:t>
            </w:r>
          </w:p>
          <w:p w:rsidR="00E10621" w:rsidRPr="001F634B" w:rsidRDefault="00B26598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етапів, механізмів та джерел фінансування оновленої Стратегії.</w:t>
            </w:r>
          </w:p>
          <w:p w:rsidR="00B26598" w:rsidRPr="001F634B" w:rsidRDefault="00B26598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37" w:right="112" w:firstLine="2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Опис системи моніторингу та оцінювання реалізації Стратегії, що базується на релевантних кількісних і якісних індикаторах досягнення цілей із визначенням їх базового, проміжного та цільового значення.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B26598">
            <w:pPr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B26598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грудень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B26598" w:rsidP="001F634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Проведення з</w:t>
            </w:r>
            <w:proofErr w:type="spellStart"/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асідання</w:t>
            </w:r>
            <w:proofErr w:type="spellEnd"/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Робочої</w:t>
            </w:r>
            <w:proofErr w:type="spellEnd"/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групи</w:t>
            </w:r>
            <w:proofErr w:type="spellEnd"/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B51D25" w:rsidRPr="001F634B" w:rsidRDefault="009A668E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34B">
              <w:rPr>
                <w:rFonts w:ascii="Times New Roman" w:hAnsi="Times New Roman"/>
                <w:sz w:val="24"/>
                <w:szCs w:val="24"/>
              </w:rPr>
              <w:t>Презентація</w:t>
            </w:r>
            <w:proofErr w:type="spellEnd"/>
            <w:r w:rsidRPr="001F634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F634B">
              <w:rPr>
                <w:rFonts w:ascii="Times New Roman" w:hAnsi="Times New Roman"/>
                <w:sz w:val="24"/>
                <w:szCs w:val="24"/>
              </w:rPr>
              <w:t>обговорення</w:t>
            </w:r>
            <w:proofErr w:type="spellEnd"/>
            <w:r w:rsidRPr="001F634B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proofErr w:type="spellStart"/>
            <w:r w:rsidRPr="001F634B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1F6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D25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оновленої </w:t>
            </w:r>
            <w:proofErr w:type="spellStart"/>
            <w:r w:rsidR="0057441D" w:rsidRPr="001F634B">
              <w:rPr>
                <w:rFonts w:ascii="Times New Roman" w:hAnsi="Times New Roman"/>
                <w:sz w:val="24"/>
                <w:szCs w:val="24"/>
              </w:rPr>
              <w:t>Стратегії</w:t>
            </w:r>
            <w:proofErr w:type="spellEnd"/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115543">
            <w:pPr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57441D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січ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ень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>» 20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115543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1F634B" w:rsidP="001F634B">
            <w:p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15543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7441D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Проведення встановлених законодавством процедур:</w:t>
            </w:r>
          </w:p>
          <w:p w:rsidR="0057441D" w:rsidRPr="001F634B" w:rsidRDefault="0057441D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обговорення проєкту оновленої Стратегії</w:t>
            </w:r>
            <w:r w:rsidRPr="001F63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441D" w:rsidRPr="001F634B" w:rsidRDefault="0057441D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стратегічної екологічної оцінки проєкту оновленої Стратегії.</w:t>
            </w:r>
          </w:p>
          <w:p w:rsidR="009A668E" w:rsidRPr="001F634B" w:rsidRDefault="00115543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Подання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проєкту Стратегії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Міністерства 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висновку про відповідність проєктів регіональної стратегії встановленим вимогам 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щод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їх підготовки, стратегічним цілям і пріоритетам, визначеним Державною стратегіє</w:t>
            </w:r>
            <w:r w:rsidR="0057441D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ю регіонального розвитку України.</w:t>
            </w:r>
          </w:p>
          <w:p w:rsidR="00115543" w:rsidRPr="001F634B" w:rsidRDefault="00115543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проєкту Стратегії </w:t>
            </w:r>
            <w:r w:rsidR="00CD3E42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10 робочих днів </w:t>
            </w: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(у разі отримання висновку із зауваженнями та пропозиціями)</w:t>
            </w:r>
          </w:p>
        </w:tc>
      </w:tr>
      <w:tr w:rsidR="009A668E" w:rsidRPr="001F634B" w:rsidTr="001F634B">
        <w:tc>
          <w:tcPr>
            <w:tcW w:w="1403" w:type="dxa"/>
            <w:shd w:val="clear" w:color="auto" w:fill="auto"/>
          </w:tcPr>
          <w:p w:rsidR="009A668E" w:rsidRPr="001F634B" w:rsidRDefault="009A668E" w:rsidP="00115543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634B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lastRenderedPageBreak/>
              <w:t>«</w:t>
            </w:r>
            <w:r w:rsidR="00115543" w:rsidRPr="001F634B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uk-UA"/>
              </w:rPr>
              <w:t>лютий</w:t>
            </w:r>
            <w:r w:rsidRPr="001F634B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»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</w:t>
            </w:r>
            <w:r w:rsidR="00B51D25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115543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7983" w:type="dxa"/>
            <w:shd w:val="clear" w:color="auto" w:fill="auto"/>
          </w:tcPr>
          <w:p w:rsidR="009A668E" w:rsidRPr="001F634B" w:rsidRDefault="00115543" w:rsidP="001F634B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="009A668E" w:rsidRPr="001F63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Підготовка та подання </w:t>
            </w:r>
            <w:r w:rsidR="001F634B"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Хмельницькій </w:t>
            </w:r>
            <w:r w:rsidRPr="001F634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обласній раді пакету документів для розгляду та затвердження в установленому порядку:</w:t>
            </w:r>
          </w:p>
          <w:p w:rsidR="00115543" w:rsidRPr="001F634B" w:rsidRDefault="00115543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34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Винесення на розгляд чергової сесії Хмельницької обласної ради та ухвалення оновленої Стратегії.</w:t>
            </w:r>
          </w:p>
          <w:p w:rsidR="009A668E" w:rsidRPr="001F634B" w:rsidRDefault="00115543" w:rsidP="001F634B">
            <w:pPr>
              <w:numPr>
                <w:ilvl w:val="0"/>
                <w:numId w:val="1"/>
              </w:numPr>
              <w:tabs>
                <w:tab w:val="left" w:pos="556"/>
              </w:tabs>
              <w:autoSpaceDE w:val="0"/>
              <w:autoSpaceDN w:val="0"/>
              <w:adjustRightInd w:val="0"/>
              <w:spacing w:after="0" w:line="240" w:lineRule="auto"/>
              <w:ind w:left="253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Розміщення затв</w:t>
            </w:r>
            <w:bookmarkStart w:id="0" w:name="_GoBack"/>
            <w:bookmarkEnd w:id="0"/>
            <w:r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ердженої оновленої Стратегії на офіційному веб-сайті обласної військової адміністрації</w:t>
            </w:r>
            <w:r w:rsidR="00CD3E42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у єдиній </w:t>
            </w:r>
            <w:proofErr w:type="spellStart"/>
            <w:r w:rsidR="00CD3E42" w:rsidRPr="001F634B">
              <w:rPr>
                <w:rFonts w:ascii="Times New Roman" w:hAnsi="Times New Roman"/>
                <w:sz w:val="24"/>
                <w:szCs w:val="24"/>
                <w:lang w:val="uk-UA"/>
              </w:rPr>
              <w:t>геоінформаційній</w:t>
            </w:r>
            <w:proofErr w:type="spellEnd"/>
            <w:r w:rsidR="00CD3E42" w:rsidRPr="001F63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системі здійснення моніторингу та оцінювання розвитку регіонів і територіальних громад.</w:t>
            </w:r>
          </w:p>
        </w:tc>
      </w:tr>
    </w:tbl>
    <w:p w:rsidR="009A668E" w:rsidRPr="00485EEB" w:rsidRDefault="009A668E" w:rsidP="009A668E">
      <w:pPr>
        <w:rPr>
          <w:b/>
          <w:bCs/>
          <w:color w:val="000000"/>
          <w:sz w:val="26"/>
          <w:szCs w:val="26"/>
        </w:rPr>
      </w:pPr>
    </w:p>
    <w:p w:rsidR="009A668E" w:rsidRPr="001F634B" w:rsidRDefault="001F634B" w:rsidP="009A66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</w:p>
    <w:p w:rsidR="00F529D9" w:rsidRDefault="00F529D9"/>
    <w:sectPr w:rsidR="00F529D9" w:rsidSect="001F63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16C"/>
    <w:multiLevelType w:val="hybridMultilevel"/>
    <w:tmpl w:val="C4E65774"/>
    <w:lvl w:ilvl="0" w:tplc="01D6D8B8"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1">
    <w:nsid w:val="54F466DC"/>
    <w:multiLevelType w:val="hybridMultilevel"/>
    <w:tmpl w:val="95D6B514"/>
    <w:lvl w:ilvl="0" w:tplc="69E6F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8B1316"/>
    <w:multiLevelType w:val="hybridMultilevel"/>
    <w:tmpl w:val="141E1D4C"/>
    <w:lvl w:ilvl="0" w:tplc="1304E8A4">
      <w:numFmt w:val="bullet"/>
      <w:lvlText w:val=""/>
      <w:lvlJc w:val="left"/>
      <w:pPr>
        <w:ind w:left="852" w:hanging="492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8E"/>
    <w:rsid w:val="00115543"/>
    <w:rsid w:val="001F634B"/>
    <w:rsid w:val="0057441D"/>
    <w:rsid w:val="00585CB4"/>
    <w:rsid w:val="007373E4"/>
    <w:rsid w:val="00743068"/>
    <w:rsid w:val="009259BF"/>
    <w:rsid w:val="009A668E"/>
    <w:rsid w:val="00A837C4"/>
    <w:rsid w:val="00AC06D0"/>
    <w:rsid w:val="00B26598"/>
    <w:rsid w:val="00B51D25"/>
    <w:rsid w:val="00C43B62"/>
    <w:rsid w:val="00CD3E42"/>
    <w:rsid w:val="00D90F0A"/>
    <w:rsid w:val="00E10621"/>
    <w:rsid w:val="00E7667A"/>
    <w:rsid w:val="00EB761D"/>
    <w:rsid w:val="00F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068"/>
    <w:pPr>
      <w:ind w:left="720"/>
      <w:contextualSpacing/>
    </w:pPr>
  </w:style>
  <w:style w:type="character" w:customStyle="1" w:styleId="docdata">
    <w:name w:val="docdata"/>
    <w:aliases w:val="docy,v5,1746,baiaagaaboqcaaadcauaaauwbqaaaaaaaaaaaaaaaaaaaaaaaaaaaaaaaaaaaaaaaaaaaaaaaaaaaaaaaaaaaaaaaaaaaaaaaaaaaaaaaaaaaaaaaaaaaaaaaaaaaaaaaaaaaaaaaaaaaaaaaaaaaaaaaaaaaaaaaaaaaaaaaaaaaaaaaaaaaaaaaaaaaaaaaaaaaaaaaaaaaaaaaaaaaaaaaaaaaaaaaaaaaaaa"/>
    <w:basedOn w:val="a0"/>
    <w:rsid w:val="00737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068"/>
    <w:pPr>
      <w:ind w:left="720"/>
      <w:contextualSpacing/>
    </w:pPr>
  </w:style>
  <w:style w:type="character" w:customStyle="1" w:styleId="docdata">
    <w:name w:val="docdata"/>
    <w:aliases w:val="docy,v5,1746,baiaagaaboqcaaadcauaaauwbqaaaaaaaaaaaaaaaaaaaaaaaaaaaaaaaaaaaaaaaaaaaaaaaaaaaaaaaaaaaaaaaaaaaaaaaaaaaaaaaaaaaaaaaaaaaaaaaaaaaaaaaaaaaaaaaaaaaaaaaaaaaaaaaaaaaaaaaaaaaaaaaaaaaaaaaaaaaaaaaaaaaaaaaaaaaaaaaaaaaaaaaaaaaaaaaaaaaaaaaaaaaaaa"/>
    <w:basedOn w:val="a0"/>
    <w:rsid w:val="0073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MSI</cp:lastModifiedBy>
  <cp:revision>6</cp:revision>
  <dcterms:created xsi:type="dcterms:W3CDTF">2024-08-22T07:38:00Z</dcterms:created>
  <dcterms:modified xsi:type="dcterms:W3CDTF">2024-09-17T07:34:00Z</dcterms:modified>
</cp:coreProperties>
</file>