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B814" w14:textId="77777777" w:rsidR="00D27416" w:rsidRDefault="00D27416" w:rsidP="00F720D5">
      <w:pPr>
        <w:spacing w:after="0" w:line="240" w:lineRule="auto"/>
        <w:rPr>
          <w:rFonts w:ascii="Times New Roman" w:eastAsia="Times New Roman" w:hAnsi="Times New Roman" w:cs="Times New Roman"/>
          <w:b/>
          <w:sz w:val="20"/>
          <w:szCs w:val="20"/>
        </w:rPr>
      </w:pPr>
    </w:p>
    <w:p w14:paraId="46E3F8E6" w14:textId="138BCB6B" w:rsidR="00F720D5" w:rsidRPr="000152F6" w:rsidRDefault="00AF7ECA" w:rsidP="00F720D5">
      <w:pPr>
        <w:spacing w:after="0" w:line="240" w:lineRule="auto"/>
        <w:rPr>
          <w:rFonts w:ascii="Times New Roman" w:eastAsia="Times New Roman" w:hAnsi="Times New Roman" w:cs="Times New Roman"/>
          <w:b/>
          <w:color w:val="943734"/>
          <w:sz w:val="20"/>
          <w:szCs w:val="20"/>
        </w:rPr>
      </w:pPr>
      <w:r w:rsidRPr="000152F6">
        <w:rPr>
          <w:rFonts w:ascii="Times New Roman" w:eastAsia="Times New Roman" w:hAnsi="Times New Roman" w:cs="Times New Roman"/>
          <w:b/>
          <w:sz w:val="20"/>
          <w:szCs w:val="20"/>
        </w:rPr>
        <w:t>Замовник:</w:t>
      </w:r>
      <w:r w:rsidRPr="000152F6">
        <w:rPr>
          <w:rFonts w:ascii="Times New Roman" w:eastAsia="Times New Roman" w:hAnsi="Times New Roman" w:cs="Times New Roman"/>
          <w:sz w:val="20"/>
          <w:szCs w:val="20"/>
        </w:rPr>
        <w:t xml:space="preserve"> </w:t>
      </w:r>
      <w:r w:rsidR="001B26D5" w:rsidRPr="001B26D5">
        <w:rPr>
          <w:rFonts w:ascii="Times New Roman" w:eastAsia="Times New Roman" w:hAnsi="Times New Roman" w:cs="Times New Roman"/>
          <w:sz w:val="20"/>
          <w:szCs w:val="20"/>
        </w:rPr>
        <w:t>Управління з питань ветеранської політики Хмельницької обласної державної адміністрації</w:t>
      </w:r>
      <w:r w:rsidR="00F720D5" w:rsidRPr="000152F6">
        <w:rPr>
          <w:rFonts w:ascii="Times New Roman" w:eastAsia="Times New Roman" w:hAnsi="Times New Roman" w:cs="Times New Roman"/>
          <w:sz w:val="20"/>
          <w:szCs w:val="20"/>
        </w:rPr>
        <w:t xml:space="preserve">  </w:t>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p>
    <w:p w14:paraId="79A02DC5" w14:textId="3AF74484" w:rsidR="002A4EEC" w:rsidRPr="000152F6" w:rsidRDefault="00AF7ECA" w:rsidP="00F720D5">
      <w:pPr>
        <w:spacing w:after="0" w:line="240" w:lineRule="auto"/>
        <w:rPr>
          <w:rFonts w:ascii="Times New Roman" w:eastAsia="Times New Roman" w:hAnsi="Times New Roman" w:cs="Times New Roman"/>
          <w:sz w:val="20"/>
          <w:szCs w:val="20"/>
        </w:rPr>
      </w:pPr>
      <w:r w:rsidRPr="000152F6">
        <w:rPr>
          <w:rFonts w:ascii="Times New Roman" w:eastAsia="Times New Roman" w:hAnsi="Times New Roman" w:cs="Times New Roman"/>
          <w:b/>
          <w:sz w:val="20"/>
          <w:szCs w:val="20"/>
        </w:rPr>
        <w:t>Код ЄДРПОУ</w:t>
      </w:r>
      <w:r w:rsidRPr="000152F6">
        <w:rPr>
          <w:rFonts w:ascii="Times New Roman" w:eastAsia="Times New Roman" w:hAnsi="Times New Roman" w:cs="Times New Roman"/>
          <w:sz w:val="20"/>
          <w:szCs w:val="20"/>
        </w:rPr>
        <w:t xml:space="preserve">: </w:t>
      </w:r>
      <w:r w:rsidR="001B26D5" w:rsidRPr="001B26D5">
        <w:rPr>
          <w:rFonts w:ascii="Times New Roman" w:eastAsia="Times New Roman" w:hAnsi="Times New Roman" w:cs="Times New Roman"/>
          <w:sz w:val="20"/>
          <w:szCs w:val="20"/>
        </w:rPr>
        <w:t>45582517</w:t>
      </w:r>
    </w:p>
    <w:p w14:paraId="35C0EE4B" w14:textId="534C5D14" w:rsidR="007A748E" w:rsidRPr="000152F6" w:rsidRDefault="00AF7ECA">
      <w:pPr>
        <w:tabs>
          <w:tab w:val="left" w:pos="1260"/>
          <w:tab w:val="left" w:pos="2340"/>
          <w:tab w:val="left" w:pos="6300"/>
        </w:tabs>
        <w:spacing w:after="0" w:line="240" w:lineRule="auto"/>
        <w:jc w:val="both"/>
        <w:rPr>
          <w:rFonts w:ascii="Times New Roman" w:eastAsia="Times New Roman" w:hAnsi="Times New Roman" w:cs="Times New Roman"/>
          <w:sz w:val="20"/>
          <w:szCs w:val="20"/>
        </w:rPr>
      </w:pPr>
      <w:r w:rsidRPr="000152F6">
        <w:rPr>
          <w:rFonts w:ascii="Times New Roman" w:eastAsia="Times New Roman" w:hAnsi="Times New Roman" w:cs="Times New Roman"/>
          <w:b/>
          <w:sz w:val="20"/>
          <w:szCs w:val="20"/>
        </w:rPr>
        <w:t>Адреса</w:t>
      </w:r>
      <w:r w:rsidRPr="000152F6">
        <w:rPr>
          <w:rFonts w:ascii="Times New Roman" w:eastAsia="Times New Roman" w:hAnsi="Times New Roman" w:cs="Times New Roman"/>
          <w:sz w:val="20"/>
          <w:szCs w:val="20"/>
        </w:rPr>
        <w:t xml:space="preserve">: </w:t>
      </w:r>
      <w:r w:rsidR="001B26D5" w:rsidRPr="001B26D5">
        <w:rPr>
          <w:rFonts w:ascii="Times New Roman" w:eastAsia="Times New Roman" w:hAnsi="Times New Roman" w:cs="Times New Roman"/>
          <w:sz w:val="20"/>
          <w:szCs w:val="20"/>
        </w:rPr>
        <w:t>29001, Хмельницька обл., місто Хмельницький, вул. Грушевського, будинок 87/2</w:t>
      </w:r>
    </w:p>
    <w:p w14:paraId="1CB2F92D" w14:textId="5FBF7921" w:rsidR="002A4EEC" w:rsidRPr="000152F6" w:rsidRDefault="00AF7ECA">
      <w:pPr>
        <w:tabs>
          <w:tab w:val="left" w:pos="1260"/>
          <w:tab w:val="left" w:pos="2340"/>
          <w:tab w:val="left" w:pos="6300"/>
        </w:tabs>
        <w:spacing w:after="0" w:line="240" w:lineRule="auto"/>
        <w:jc w:val="both"/>
        <w:rPr>
          <w:rFonts w:ascii="Times New Roman" w:eastAsia="Times New Roman" w:hAnsi="Times New Roman" w:cs="Times New Roman"/>
          <w:sz w:val="20"/>
          <w:szCs w:val="20"/>
        </w:rPr>
      </w:pPr>
      <w:r w:rsidRPr="000152F6">
        <w:rPr>
          <w:rFonts w:ascii="Times New Roman" w:eastAsia="Times New Roman" w:hAnsi="Times New Roman" w:cs="Times New Roman"/>
          <w:b/>
          <w:sz w:val="20"/>
          <w:szCs w:val="20"/>
        </w:rPr>
        <w:t>Категорія:</w:t>
      </w:r>
      <w:r w:rsidRPr="000152F6">
        <w:rPr>
          <w:rFonts w:ascii="Times New Roman" w:eastAsia="Times New Roman" w:hAnsi="Times New Roman" w:cs="Times New Roman"/>
          <w:sz w:val="20"/>
          <w:szCs w:val="20"/>
        </w:rPr>
        <w:t xml:space="preserve"> </w:t>
      </w:r>
      <w:r w:rsidR="001B26D5" w:rsidRPr="001B26D5">
        <w:rPr>
          <w:rFonts w:ascii="Times New Roman" w:eastAsia="Times New Roman" w:hAnsi="Times New Roman" w:cs="Times New Roman"/>
          <w:sz w:val="20"/>
          <w:szCs w:val="20"/>
        </w:rPr>
        <w:t>Органи державної влади та органи місцевого самоврядування, зазначені у пункті 1 частини першої статті 2 Закону України «Про публічні закупівлі»</w:t>
      </w:r>
    </w:p>
    <w:p w14:paraId="6DACDE13" w14:textId="77777777" w:rsidR="007A748E" w:rsidRPr="000152F6" w:rsidRDefault="007A748E">
      <w:pPr>
        <w:tabs>
          <w:tab w:val="left" w:pos="1260"/>
          <w:tab w:val="left" w:pos="2340"/>
          <w:tab w:val="left" w:pos="6300"/>
        </w:tabs>
        <w:spacing w:after="0" w:line="240" w:lineRule="auto"/>
        <w:jc w:val="both"/>
        <w:rPr>
          <w:rFonts w:ascii="Times New Roman" w:eastAsia="Times New Roman" w:hAnsi="Times New Roman" w:cs="Times New Roman"/>
          <w:sz w:val="20"/>
          <w:szCs w:val="20"/>
        </w:rPr>
      </w:pPr>
    </w:p>
    <w:p w14:paraId="4992EDD4" w14:textId="77777777" w:rsidR="002A4EEC" w:rsidRPr="000152F6" w:rsidRDefault="00AF7ECA">
      <w:pPr>
        <w:spacing w:after="0" w:line="240" w:lineRule="auto"/>
        <w:jc w:val="center"/>
        <w:rPr>
          <w:rFonts w:ascii="Times New Roman" w:eastAsia="Times New Roman" w:hAnsi="Times New Roman" w:cs="Times New Roman"/>
          <w:b/>
          <w:sz w:val="20"/>
          <w:szCs w:val="20"/>
        </w:rPr>
      </w:pPr>
      <w:r w:rsidRPr="000152F6">
        <w:rPr>
          <w:rFonts w:ascii="Times New Roman" w:eastAsia="Times New Roman" w:hAnsi="Times New Roman" w:cs="Times New Roman"/>
          <w:b/>
          <w:sz w:val="20"/>
          <w:szCs w:val="20"/>
        </w:rPr>
        <w:t xml:space="preserve">ОБҐРУНТУВАННЯ </w:t>
      </w:r>
    </w:p>
    <w:p w14:paraId="24BAAC8B" w14:textId="77777777" w:rsidR="002A4EEC" w:rsidRPr="000152F6" w:rsidRDefault="00AF7ECA">
      <w:pPr>
        <w:spacing w:after="0" w:line="240" w:lineRule="auto"/>
        <w:jc w:val="center"/>
        <w:rPr>
          <w:rFonts w:ascii="Times New Roman" w:eastAsia="Times New Roman" w:hAnsi="Times New Roman" w:cs="Times New Roman"/>
          <w:sz w:val="20"/>
          <w:szCs w:val="20"/>
        </w:rPr>
      </w:pPr>
      <w:r w:rsidRPr="000152F6">
        <w:rPr>
          <w:rFonts w:ascii="Times New Roman" w:eastAsia="Times New Roman" w:hAnsi="Times New Roman" w:cs="Times New Roman"/>
          <w:sz w:val="20"/>
          <w:szCs w:val="20"/>
        </w:rPr>
        <w:t xml:space="preserve">технічних та якісних характеристик закупівлі, розміру бюджетного призначення, очікуваної вартості предмета закупівлі </w:t>
      </w:r>
    </w:p>
    <w:p w14:paraId="287A11C3" w14:textId="77777777" w:rsidR="002A4EEC" w:rsidRPr="000152F6" w:rsidRDefault="00AF7ECA">
      <w:pPr>
        <w:spacing w:after="0" w:line="240" w:lineRule="auto"/>
        <w:jc w:val="center"/>
        <w:rPr>
          <w:rFonts w:ascii="Times New Roman" w:eastAsia="Times New Roman" w:hAnsi="Times New Roman" w:cs="Times New Roman"/>
          <w:b/>
          <w:sz w:val="20"/>
          <w:szCs w:val="20"/>
        </w:rPr>
      </w:pPr>
      <w:r w:rsidRPr="000152F6">
        <w:rPr>
          <w:rFonts w:ascii="Times New Roman" w:eastAsia="Times New Roman" w:hAnsi="Times New Roman" w:cs="Times New Roman"/>
          <w:sz w:val="20"/>
          <w:szCs w:val="20"/>
        </w:rPr>
        <w:t>(на підставі постанови Кабінету Міністрів України від 11.10.2016 № 710 «Про ефективне використання державних коштів» (зі змінами))</w:t>
      </w:r>
    </w:p>
    <w:p w14:paraId="6E082155" w14:textId="77777777" w:rsidR="002A4EEC" w:rsidRPr="000152F6" w:rsidRDefault="002A4EEC">
      <w:pPr>
        <w:spacing w:after="0" w:line="240" w:lineRule="auto"/>
        <w:jc w:val="center"/>
        <w:rPr>
          <w:rFonts w:ascii="Times New Roman" w:eastAsia="Times New Roman" w:hAnsi="Times New Roman" w:cs="Times New Roman"/>
          <w:b/>
          <w:sz w:val="20"/>
          <w:szCs w:val="20"/>
        </w:rPr>
      </w:pPr>
    </w:p>
    <w:tbl>
      <w:tblPr>
        <w:tblStyle w:val="aa"/>
        <w:tblW w:w="148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2564"/>
        <w:gridCol w:w="1695"/>
        <w:gridCol w:w="1417"/>
        <w:gridCol w:w="5670"/>
        <w:gridCol w:w="2693"/>
        <w:gridCol w:w="66"/>
      </w:tblGrid>
      <w:tr w:rsidR="002A4EEC" w:rsidRPr="001B26D5" w14:paraId="6D38641E" w14:textId="77777777" w:rsidTr="00FE40DE">
        <w:trPr>
          <w:trHeight w:val="265"/>
          <w:jc w:val="center"/>
        </w:trPr>
        <w:tc>
          <w:tcPr>
            <w:tcW w:w="698" w:type="dxa"/>
            <w:vMerge w:val="restart"/>
            <w:tcBorders>
              <w:top w:val="single" w:sz="4" w:space="0" w:color="000000"/>
              <w:left w:val="single" w:sz="4" w:space="0" w:color="000000"/>
              <w:right w:val="single" w:sz="4" w:space="0" w:color="000000"/>
            </w:tcBorders>
            <w:vAlign w:val="center"/>
          </w:tcPr>
          <w:p w14:paraId="48F39C42"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 з/п</w:t>
            </w:r>
          </w:p>
        </w:tc>
        <w:tc>
          <w:tcPr>
            <w:tcW w:w="2564" w:type="dxa"/>
            <w:vMerge w:val="restart"/>
            <w:tcBorders>
              <w:top w:val="single" w:sz="4" w:space="0" w:color="000000"/>
              <w:left w:val="single" w:sz="4" w:space="0" w:color="000000"/>
              <w:right w:val="single" w:sz="4" w:space="0" w:color="000000"/>
            </w:tcBorders>
            <w:vAlign w:val="center"/>
          </w:tcPr>
          <w:p w14:paraId="44BE7CD9"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1695" w:type="dxa"/>
            <w:vMerge w:val="restart"/>
            <w:tcBorders>
              <w:top w:val="single" w:sz="4" w:space="0" w:color="000000"/>
              <w:left w:val="single" w:sz="4" w:space="0" w:color="000000"/>
              <w:right w:val="single" w:sz="4" w:space="0" w:color="000000"/>
            </w:tcBorders>
            <w:vAlign w:val="center"/>
          </w:tcPr>
          <w:p w14:paraId="5AC867BF"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Очікувана вартість та/або розмір бюджетного призначення</w:t>
            </w:r>
          </w:p>
        </w:tc>
        <w:tc>
          <w:tcPr>
            <w:tcW w:w="1417" w:type="dxa"/>
            <w:vMerge w:val="restart"/>
            <w:tcBorders>
              <w:top w:val="single" w:sz="4" w:space="0" w:color="000000"/>
              <w:left w:val="single" w:sz="4" w:space="0" w:color="000000"/>
              <w:right w:val="single" w:sz="4" w:space="0" w:color="000000"/>
            </w:tcBorders>
          </w:tcPr>
          <w:p w14:paraId="5540FF33"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398B2830"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2A91790E"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29DDC9BB"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3C90D4E3"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1B43ED05"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17E8A984"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Ідентифікатор закупівлі</w:t>
            </w:r>
          </w:p>
        </w:tc>
        <w:tc>
          <w:tcPr>
            <w:tcW w:w="8429" w:type="dxa"/>
            <w:gridSpan w:val="3"/>
            <w:tcBorders>
              <w:top w:val="single" w:sz="4" w:space="0" w:color="000000"/>
              <w:left w:val="single" w:sz="4" w:space="0" w:color="000000"/>
              <w:bottom w:val="single" w:sz="4" w:space="0" w:color="000000"/>
              <w:right w:val="single" w:sz="4" w:space="0" w:color="000000"/>
            </w:tcBorders>
          </w:tcPr>
          <w:p w14:paraId="53BBF87B"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Обґрунтування</w:t>
            </w:r>
          </w:p>
        </w:tc>
      </w:tr>
      <w:tr w:rsidR="002A4EEC" w:rsidRPr="001B26D5" w14:paraId="005FAE49" w14:textId="77777777" w:rsidTr="00FE40DE">
        <w:trPr>
          <w:gridAfter w:val="1"/>
          <w:wAfter w:w="66" w:type="dxa"/>
          <w:trHeight w:val="450"/>
          <w:jc w:val="center"/>
        </w:trPr>
        <w:tc>
          <w:tcPr>
            <w:tcW w:w="698" w:type="dxa"/>
            <w:vMerge/>
            <w:tcBorders>
              <w:top w:val="single" w:sz="4" w:space="0" w:color="000000"/>
              <w:left w:val="single" w:sz="4" w:space="0" w:color="000000"/>
              <w:right w:val="single" w:sz="4" w:space="0" w:color="000000"/>
            </w:tcBorders>
            <w:vAlign w:val="center"/>
          </w:tcPr>
          <w:p w14:paraId="2765C025" w14:textId="77777777" w:rsidR="002A4EEC" w:rsidRPr="001B26D5" w:rsidRDefault="002A4EE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564" w:type="dxa"/>
            <w:vMerge/>
            <w:tcBorders>
              <w:top w:val="single" w:sz="4" w:space="0" w:color="000000"/>
              <w:left w:val="single" w:sz="4" w:space="0" w:color="000000"/>
              <w:right w:val="single" w:sz="4" w:space="0" w:color="000000"/>
            </w:tcBorders>
            <w:vAlign w:val="center"/>
          </w:tcPr>
          <w:p w14:paraId="05891EFE" w14:textId="77777777" w:rsidR="002A4EEC" w:rsidRPr="001B26D5" w:rsidRDefault="002A4EE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695" w:type="dxa"/>
            <w:vMerge/>
            <w:tcBorders>
              <w:top w:val="single" w:sz="4" w:space="0" w:color="000000"/>
              <w:left w:val="single" w:sz="4" w:space="0" w:color="000000"/>
              <w:right w:val="single" w:sz="4" w:space="0" w:color="000000"/>
            </w:tcBorders>
            <w:vAlign w:val="center"/>
          </w:tcPr>
          <w:p w14:paraId="787697B0" w14:textId="77777777" w:rsidR="002A4EEC" w:rsidRPr="001B26D5" w:rsidRDefault="002A4EE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17" w:type="dxa"/>
            <w:vMerge/>
            <w:tcBorders>
              <w:top w:val="single" w:sz="4" w:space="0" w:color="000000"/>
              <w:left w:val="single" w:sz="4" w:space="0" w:color="000000"/>
              <w:right w:val="single" w:sz="4" w:space="0" w:color="000000"/>
            </w:tcBorders>
          </w:tcPr>
          <w:p w14:paraId="78A63B96" w14:textId="77777777" w:rsidR="002A4EEC" w:rsidRPr="001B26D5" w:rsidRDefault="002A4EE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1C48E50D"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технічних та якісних характеристик предмета закупівлі</w:t>
            </w:r>
          </w:p>
        </w:tc>
        <w:tc>
          <w:tcPr>
            <w:tcW w:w="2693" w:type="dxa"/>
            <w:tcBorders>
              <w:top w:val="single" w:sz="4" w:space="0" w:color="000000"/>
              <w:left w:val="single" w:sz="4" w:space="0" w:color="000000"/>
              <w:bottom w:val="single" w:sz="4" w:space="0" w:color="000000"/>
              <w:right w:val="single" w:sz="4" w:space="0" w:color="000000"/>
            </w:tcBorders>
            <w:vAlign w:val="center"/>
          </w:tcPr>
          <w:p w14:paraId="3387EB6E" w14:textId="77777777" w:rsidR="002A4EEC" w:rsidRPr="001B26D5" w:rsidRDefault="00AF7ECA">
            <w:pPr>
              <w:spacing w:after="0" w:line="240" w:lineRule="auto"/>
              <w:ind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очікуваної вартості закупівлі</w:t>
            </w:r>
          </w:p>
        </w:tc>
      </w:tr>
      <w:tr w:rsidR="002A4EEC" w:rsidRPr="001B26D5" w14:paraId="1C6307C3" w14:textId="77777777" w:rsidTr="00FE40DE">
        <w:trPr>
          <w:gridAfter w:val="1"/>
          <w:wAfter w:w="66" w:type="dxa"/>
          <w:jc w:val="center"/>
        </w:trPr>
        <w:tc>
          <w:tcPr>
            <w:tcW w:w="698" w:type="dxa"/>
            <w:tcBorders>
              <w:top w:val="single" w:sz="4" w:space="0" w:color="000000"/>
              <w:left w:val="single" w:sz="4" w:space="0" w:color="000000"/>
              <w:bottom w:val="single" w:sz="4" w:space="0" w:color="000000"/>
              <w:right w:val="single" w:sz="4" w:space="0" w:color="000000"/>
            </w:tcBorders>
            <w:vAlign w:val="center"/>
          </w:tcPr>
          <w:p w14:paraId="71ADD965"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1</w:t>
            </w:r>
          </w:p>
        </w:tc>
        <w:tc>
          <w:tcPr>
            <w:tcW w:w="2564" w:type="dxa"/>
            <w:tcBorders>
              <w:top w:val="single" w:sz="4" w:space="0" w:color="000000"/>
              <w:left w:val="single" w:sz="4" w:space="0" w:color="000000"/>
              <w:bottom w:val="single" w:sz="4" w:space="0" w:color="000000"/>
              <w:right w:val="single" w:sz="4" w:space="0" w:color="000000"/>
            </w:tcBorders>
            <w:vAlign w:val="center"/>
          </w:tcPr>
          <w:p w14:paraId="3579DE58"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2</w:t>
            </w:r>
          </w:p>
        </w:tc>
        <w:tc>
          <w:tcPr>
            <w:tcW w:w="1695" w:type="dxa"/>
            <w:tcBorders>
              <w:top w:val="single" w:sz="4" w:space="0" w:color="000000"/>
              <w:left w:val="single" w:sz="4" w:space="0" w:color="000000"/>
              <w:bottom w:val="single" w:sz="4" w:space="0" w:color="000000"/>
              <w:right w:val="single" w:sz="4" w:space="0" w:color="000000"/>
            </w:tcBorders>
            <w:vAlign w:val="center"/>
          </w:tcPr>
          <w:p w14:paraId="1F53B85A"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9D41B20"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tc>
        <w:tc>
          <w:tcPr>
            <w:tcW w:w="5670" w:type="dxa"/>
            <w:tcBorders>
              <w:top w:val="single" w:sz="4" w:space="0" w:color="000000"/>
              <w:left w:val="single" w:sz="4" w:space="0" w:color="000000"/>
              <w:bottom w:val="single" w:sz="4" w:space="0" w:color="000000"/>
              <w:right w:val="single" w:sz="4" w:space="0" w:color="000000"/>
            </w:tcBorders>
          </w:tcPr>
          <w:p w14:paraId="092190F1"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4</w:t>
            </w:r>
          </w:p>
        </w:tc>
        <w:tc>
          <w:tcPr>
            <w:tcW w:w="2693" w:type="dxa"/>
            <w:tcBorders>
              <w:top w:val="single" w:sz="4" w:space="0" w:color="000000"/>
              <w:left w:val="single" w:sz="4" w:space="0" w:color="000000"/>
              <w:bottom w:val="single" w:sz="4" w:space="0" w:color="000000"/>
              <w:right w:val="single" w:sz="4" w:space="0" w:color="000000"/>
            </w:tcBorders>
            <w:vAlign w:val="center"/>
          </w:tcPr>
          <w:p w14:paraId="67C219C2"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5</w:t>
            </w:r>
          </w:p>
        </w:tc>
      </w:tr>
      <w:tr w:rsidR="000152F6" w:rsidRPr="001B26D5" w14:paraId="3263725F" w14:textId="77777777" w:rsidTr="00FE40DE">
        <w:trPr>
          <w:gridAfter w:val="1"/>
          <w:wAfter w:w="66" w:type="dxa"/>
          <w:trHeight w:val="122"/>
          <w:jc w:val="center"/>
        </w:trPr>
        <w:tc>
          <w:tcPr>
            <w:tcW w:w="698" w:type="dxa"/>
            <w:tcBorders>
              <w:top w:val="single" w:sz="4" w:space="0" w:color="000000"/>
              <w:left w:val="single" w:sz="4" w:space="0" w:color="000000"/>
              <w:bottom w:val="single" w:sz="4" w:space="0" w:color="000000"/>
              <w:right w:val="single" w:sz="4" w:space="0" w:color="000000"/>
            </w:tcBorders>
            <w:vAlign w:val="center"/>
          </w:tcPr>
          <w:p w14:paraId="1E2D86FA" w14:textId="77777777" w:rsidR="002A4EEC" w:rsidRPr="001B26D5" w:rsidRDefault="00AF7ECA">
            <w:pPr>
              <w:spacing w:after="0" w:line="240" w:lineRule="auto"/>
              <w:jc w:val="center"/>
              <w:rPr>
                <w:rFonts w:ascii="Times New Roman" w:eastAsia="Times New Roman" w:hAnsi="Times New Roman" w:cs="Times New Roman"/>
                <w:sz w:val="20"/>
                <w:szCs w:val="20"/>
              </w:rPr>
            </w:pPr>
            <w:r w:rsidRPr="001B26D5">
              <w:rPr>
                <w:rFonts w:ascii="Times New Roman" w:eastAsia="Times New Roman" w:hAnsi="Times New Roman" w:cs="Times New Roman"/>
                <w:sz w:val="20"/>
                <w:szCs w:val="20"/>
              </w:rPr>
              <w:t>1</w:t>
            </w:r>
          </w:p>
        </w:tc>
        <w:tc>
          <w:tcPr>
            <w:tcW w:w="2564" w:type="dxa"/>
            <w:tcBorders>
              <w:top w:val="single" w:sz="4" w:space="0" w:color="000000"/>
              <w:left w:val="single" w:sz="4" w:space="0" w:color="000000"/>
              <w:bottom w:val="single" w:sz="4" w:space="0" w:color="000000"/>
              <w:right w:val="single" w:sz="4" w:space="0" w:color="000000"/>
            </w:tcBorders>
            <w:vAlign w:val="center"/>
          </w:tcPr>
          <w:p w14:paraId="4A871513" w14:textId="77777777" w:rsidR="0063541B" w:rsidRDefault="001B26D5" w:rsidP="0063541B">
            <w:pPr>
              <w:spacing w:after="0" w:line="240" w:lineRule="auto"/>
              <w:jc w:val="center"/>
              <w:rPr>
                <w:rFonts w:ascii="Times New Roman" w:eastAsia="Times New Roman" w:hAnsi="Times New Roman" w:cs="Times New Roman"/>
                <w:sz w:val="20"/>
                <w:szCs w:val="20"/>
              </w:rPr>
            </w:pPr>
            <w:bookmarkStart w:id="0" w:name="_Hlk224639084"/>
            <w:r w:rsidRPr="001B26D5">
              <w:rPr>
                <w:rFonts w:ascii="Times New Roman" w:hAnsi="Times New Roman"/>
                <w:b/>
                <w:sz w:val="20"/>
                <w:szCs w:val="20"/>
              </w:rPr>
              <w:t>«код Основного словника національного класифікатора України ДК 021:2015 «Єдиний закупівельний словник»</w:t>
            </w:r>
            <w:r w:rsidR="0063541B">
              <w:rPr>
                <w:rFonts w:ascii="Times New Roman" w:hAnsi="Times New Roman"/>
                <w:b/>
                <w:sz w:val="20"/>
                <w:szCs w:val="20"/>
              </w:rPr>
              <w:t xml:space="preserve"> - </w:t>
            </w:r>
            <w:r w:rsidR="0063541B" w:rsidRPr="00D33E86">
              <w:rPr>
                <w:rFonts w:ascii="Times New Roman" w:eastAsia="Tahoma" w:hAnsi="Times New Roman"/>
                <w:b/>
                <w:lang w:bidi="hi-IN"/>
              </w:rPr>
              <w:t>79950000-8 – «Послуги з організації виставок, ярмарок і конгресів»</w:t>
            </w:r>
            <w:r w:rsidRPr="001B26D5">
              <w:rPr>
                <w:rFonts w:ascii="Times New Roman" w:hAnsi="Times New Roman"/>
                <w:b/>
                <w:sz w:val="20"/>
                <w:szCs w:val="20"/>
              </w:rPr>
              <w:t xml:space="preserve"> </w:t>
            </w:r>
            <w:bookmarkEnd w:id="0"/>
            <w:r w:rsidR="00F720D5" w:rsidRPr="001B26D5">
              <w:rPr>
                <w:rFonts w:ascii="Times New Roman" w:eastAsia="Times New Roman" w:hAnsi="Times New Roman" w:cs="Times New Roman"/>
                <w:sz w:val="20"/>
                <w:szCs w:val="20"/>
              </w:rPr>
              <w:t xml:space="preserve">Найбільш відповідний код ДК 021:2015: </w:t>
            </w:r>
          </w:p>
          <w:p w14:paraId="3C4D4F65" w14:textId="240E0FF6" w:rsidR="0063541B" w:rsidRPr="009B03DD" w:rsidRDefault="0063541B" w:rsidP="0063541B">
            <w:pPr>
              <w:spacing w:after="0" w:line="240" w:lineRule="auto"/>
              <w:jc w:val="center"/>
              <w:rPr>
                <w:rFonts w:ascii="Times New Roman" w:eastAsia="Times New Roman" w:hAnsi="Times New Roman" w:cs="Times New Roman"/>
                <w:b/>
                <w:bCs/>
                <w:sz w:val="20"/>
                <w:szCs w:val="20"/>
              </w:rPr>
            </w:pPr>
            <w:r w:rsidRPr="009B03DD">
              <w:rPr>
                <w:rFonts w:ascii="Times New Roman" w:eastAsia="Times New Roman" w:hAnsi="Times New Roman" w:cs="Times New Roman"/>
                <w:b/>
                <w:bCs/>
                <w:sz w:val="20"/>
                <w:szCs w:val="20"/>
              </w:rPr>
              <w:t>79952100-3 Послуги з організації культурних заходів</w:t>
            </w:r>
          </w:p>
          <w:p w14:paraId="76837F8D" w14:textId="77777777" w:rsidR="0063541B" w:rsidRPr="009B03DD" w:rsidRDefault="0063541B" w:rsidP="0063541B">
            <w:pPr>
              <w:spacing w:after="0" w:line="240" w:lineRule="auto"/>
              <w:jc w:val="center"/>
              <w:rPr>
                <w:rFonts w:ascii="Times New Roman" w:eastAsia="Times New Roman" w:hAnsi="Times New Roman" w:cs="Times New Roman"/>
                <w:b/>
                <w:bCs/>
                <w:sz w:val="20"/>
                <w:szCs w:val="20"/>
              </w:rPr>
            </w:pPr>
          </w:p>
          <w:p w14:paraId="539FF511" w14:textId="04C8BD2D" w:rsidR="00F720D5" w:rsidRPr="001B26D5" w:rsidRDefault="00F720D5" w:rsidP="0063541B">
            <w:pPr>
              <w:spacing w:after="0" w:line="240" w:lineRule="auto"/>
              <w:jc w:val="center"/>
              <w:rPr>
                <w:rFonts w:ascii="Times New Roman" w:eastAsia="Times New Roman" w:hAnsi="Times New Roman" w:cs="Times New Roman"/>
                <w:sz w:val="20"/>
                <w:szCs w:val="20"/>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3A897B9F" w14:textId="0BB8FE0B" w:rsidR="002A4EEC" w:rsidRPr="001B26D5" w:rsidRDefault="00147F0A" w:rsidP="00436631">
            <w:pPr>
              <w:tabs>
                <w:tab w:val="left" w:pos="276"/>
              </w:tabs>
              <w:spacing w:after="0" w:line="240" w:lineRule="auto"/>
              <w:ind w:right="108"/>
              <w:jc w:val="center"/>
              <w:rPr>
                <w:rFonts w:ascii="Times New Roman" w:eastAsia="Times New Roman" w:hAnsi="Times New Roman" w:cs="Times New Roman"/>
                <w:sz w:val="20"/>
                <w:szCs w:val="20"/>
              </w:rPr>
            </w:pPr>
            <w:r w:rsidRPr="00436631">
              <w:rPr>
                <w:rFonts w:ascii="Arial" w:hAnsi="Arial" w:cs="Arial"/>
                <w:b/>
                <w:bCs/>
                <w:color w:val="333333"/>
                <w:sz w:val="20"/>
                <w:szCs w:val="20"/>
                <w:shd w:val="clear" w:color="auto" w:fill="FFFFFF"/>
              </w:rPr>
              <w:t>1 499</w:t>
            </w:r>
            <w:r w:rsidR="007B1618" w:rsidRPr="00436631">
              <w:rPr>
                <w:rFonts w:ascii="Arial" w:hAnsi="Arial" w:cs="Arial"/>
                <w:b/>
                <w:bCs/>
                <w:color w:val="333333"/>
                <w:sz w:val="20"/>
                <w:szCs w:val="20"/>
                <w:shd w:val="clear" w:color="auto" w:fill="FFFFFF"/>
              </w:rPr>
              <w:t> </w:t>
            </w:r>
            <w:r w:rsidRPr="00436631">
              <w:rPr>
                <w:rFonts w:ascii="Arial" w:hAnsi="Arial" w:cs="Arial"/>
                <w:b/>
                <w:bCs/>
                <w:color w:val="333333"/>
                <w:sz w:val="20"/>
                <w:szCs w:val="20"/>
                <w:shd w:val="clear" w:color="auto" w:fill="FFFFFF"/>
              </w:rPr>
              <w:t>865</w:t>
            </w:r>
            <w:r w:rsidR="007B1618" w:rsidRPr="00436631">
              <w:rPr>
                <w:rFonts w:ascii="Arial" w:hAnsi="Arial" w:cs="Arial"/>
                <w:b/>
                <w:bCs/>
                <w:color w:val="333333"/>
                <w:sz w:val="20"/>
                <w:szCs w:val="20"/>
                <w:shd w:val="clear" w:color="auto" w:fill="FFFFFF"/>
              </w:rPr>
              <w:t>,00</w:t>
            </w:r>
            <w:r w:rsidRPr="007B1618">
              <w:rPr>
                <w:rFonts w:ascii="Arial" w:hAnsi="Arial" w:cs="Arial"/>
                <w:color w:val="333333"/>
                <w:sz w:val="20"/>
                <w:szCs w:val="20"/>
                <w:shd w:val="clear" w:color="auto" w:fill="FFFFFF"/>
              </w:rPr>
              <w:t> </w:t>
            </w:r>
            <w:r w:rsidR="001B26D5" w:rsidRPr="007B1618">
              <w:rPr>
                <w:rFonts w:ascii="Times New Roman" w:eastAsia="Times New Roman" w:hAnsi="Times New Roman" w:cs="Times New Roman"/>
                <w:sz w:val="20"/>
                <w:szCs w:val="20"/>
              </w:rPr>
              <w:t xml:space="preserve"> </w:t>
            </w:r>
            <w:r w:rsidR="007B1618">
              <w:rPr>
                <w:rFonts w:ascii="Times New Roman" w:eastAsia="Times New Roman" w:hAnsi="Times New Roman" w:cs="Times New Roman"/>
                <w:sz w:val="20"/>
                <w:szCs w:val="20"/>
              </w:rPr>
              <w:t xml:space="preserve">  </w:t>
            </w:r>
            <w:r w:rsidR="001B26D5" w:rsidRPr="007B1618">
              <w:rPr>
                <w:rFonts w:ascii="Times New Roman" w:eastAsia="Times New Roman" w:hAnsi="Times New Roman" w:cs="Times New Roman"/>
                <w:sz w:val="20"/>
                <w:szCs w:val="20"/>
              </w:rPr>
              <w:t>(</w:t>
            </w:r>
            <w:r w:rsidRPr="007B1618">
              <w:rPr>
                <w:rFonts w:ascii="Times New Roman" w:eastAsia="Times New Roman" w:hAnsi="Times New Roman" w:cs="Times New Roman"/>
                <w:sz w:val="20"/>
                <w:szCs w:val="20"/>
              </w:rPr>
              <w:t>один мільйон чотириста дев</w:t>
            </w:r>
            <w:r w:rsidRPr="007B1618">
              <w:rPr>
                <w:rFonts w:ascii="Times New Roman" w:hAnsi="Times New Roman" w:cs="Times New Roman"/>
              </w:rPr>
              <w:t>’яносто дев’ять</w:t>
            </w:r>
            <w:r w:rsidR="007B1618" w:rsidRPr="007B1618">
              <w:rPr>
                <w:rFonts w:ascii="Times New Roman" w:hAnsi="Times New Roman" w:cs="Times New Roman"/>
              </w:rPr>
              <w:t xml:space="preserve"> тисяч вісімсот шістдесят п’ять</w:t>
            </w:r>
            <w:r w:rsidRPr="007B1618">
              <w:rPr>
                <w:rFonts w:ascii="Times New Roman" w:eastAsia="Times New Roman" w:hAnsi="Times New Roman" w:cs="Times New Roman"/>
                <w:sz w:val="20"/>
                <w:szCs w:val="20"/>
              </w:rPr>
              <w:t xml:space="preserve"> </w:t>
            </w:r>
            <w:r w:rsidR="001B26D5" w:rsidRPr="007B1618">
              <w:rPr>
                <w:rFonts w:ascii="Times New Roman" w:eastAsia="Times New Roman" w:hAnsi="Times New Roman" w:cs="Times New Roman"/>
                <w:sz w:val="20"/>
                <w:szCs w:val="20"/>
              </w:rPr>
              <w:t>гривень 00 копійок) грн. з</w:t>
            </w:r>
            <w:r w:rsidR="001B26D5" w:rsidRPr="001B26D5">
              <w:rPr>
                <w:rFonts w:ascii="Times New Roman" w:eastAsia="Times New Roman" w:hAnsi="Times New Roman" w:cs="Times New Roman"/>
                <w:sz w:val="20"/>
                <w:szCs w:val="20"/>
              </w:rPr>
              <w:t xml:space="preserve"> ПДВ</w:t>
            </w:r>
          </w:p>
        </w:tc>
        <w:tc>
          <w:tcPr>
            <w:tcW w:w="1417" w:type="dxa"/>
            <w:tcBorders>
              <w:top w:val="single" w:sz="4" w:space="0" w:color="000000"/>
              <w:left w:val="single" w:sz="4" w:space="0" w:color="000000"/>
              <w:bottom w:val="single" w:sz="4" w:space="0" w:color="000000"/>
              <w:right w:val="single" w:sz="4" w:space="0" w:color="000000"/>
            </w:tcBorders>
            <w:vAlign w:val="center"/>
          </w:tcPr>
          <w:p w14:paraId="4758528F" w14:textId="6F7EB94C" w:rsidR="002A4EEC" w:rsidRPr="001B26D5" w:rsidRDefault="007B1618">
            <w:pPr>
              <w:spacing w:after="0" w:line="240" w:lineRule="auto"/>
              <w:jc w:val="both"/>
              <w:rPr>
                <w:rFonts w:ascii="Times New Roman" w:eastAsia="Times New Roman" w:hAnsi="Times New Roman" w:cs="Times New Roman"/>
                <w:sz w:val="20"/>
                <w:szCs w:val="20"/>
              </w:rPr>
            </w:pPr>
            <w:r w:rsidRPr="007B1618">
              <w:rPr>
                <w:rFonts w:ascii="Times New Roman" w:eastAsia="Times New Roman" w:hAnsi="Times New Roman" w:cs="Times New Roman"/>
                <w:sz w:val="20"/>
                <w:szCs w:val="20"/>
              </w:rPr>
              <w:t>UA-2026-04-06-013242-a</w:t>
            </w:r>
          </w:p>
        </w:tc>
        <w:tc>
          <w:tcPr>
            <w:tcW w:w="5670" w:type="dxa"/>
            <w:tcBorders>
              <w:top w:val="single" w:sz="4" w:space="0" w:color="000000"/>
              <w:left w:val="single" w:sz="4" w:space="0" w:color="000000"/>
              <w:bottom w:val="single" w:sz="4" w:space="0" w:color="000000"/>
              <w:right w:val="single" w:sz="4" w:space="0" w:color="000000"/>
            </w:tcBorders>
            <w:vAlign w:val="center"/>
          </w:tcPr>
          <w:p w14:paraId="629445B6" w14:textId="63F69295" w:rsidR="007B1618" w:rsidRPr="006123A8" w:rsidRDefault="00C658B4" w:rsidP="007B1618">
            <w:pPr>
              <w:spacing w:after="0" w:line="240" w:lineRule="auto"/>
              <w:jc w:val="both"/>
              <w:rPr>
                <w:rFonts w:ascii="Times New Roman" w:hAnsi="Times New Roman" w:cs="Times New Roman"/>
                <w:sz w:val="20"/>
                <w:szCs w:val="20"/>
              </w:rPr>
            </w:pPr>
            <w:r w:rsidRPr="00C658B4">
              <w:rPr>
                <w:rFonts w:ascii="Times New Roman" w:hAnsi="Times New Roman" w:cs="Times New Roman"/>
                <w:sz w:val="20"/>
                <w:szCs w:val="20"/>
              </w:rPr>
              <w:t>Обґрунтування базується на специфіці цільової аудиторії та необхідності забезпечення високого рівня соціально-психологічної підтримки.</w:t>
            </w:r>
            <w:r>
              <w:rPr>
                <w:rFonts w:ascii="Times New Roman" w:hAnsi="Times New Roman" w:cs="Times New Roman"/>
                <w:sz w:val="20"/>
                <w:szCs w:val="20"/>
              </w:rPr>
              <w:t xml:space="preserve"> Планується надання п</w:t>
            </w:r>
            <w:r w:rsidR="007B1618" w:rsidRPr="006123A8">
              <w:rPr>
                <w:rFonts w:ascii="Times New Roman" w:hAnsi="Times New Roman" w:cs="Times New Roman"/>
                <w:sz w:val="20"/>
                <w:szCs w:val="20"/>
              </w:rPr>
              <w:t>ослуг з організації культурних заходів для ветеранів війни та членів їх сімей, членів сімей загиблих (померлих) Захисників та Захисниць України один раз на два роки</w:t>
            </w:r>
            <w:r>
              <w:rPr>
                <w:rFonts w:ascii="Times New Roman" w:hAnsi="Times New Roman" w:cs="Times New Roman"/>
                <w:sz w:val="20"/>
                <w:szCs w:val="20"/>
              </w:rPr>
              <w:t>.</w:t>
            </w:r>
          </w:p>
          <w:p w14:paraId="3C12A012" w14:textId="2767CAD1" w:rsidR="007B1618" w:rsidRPr="00932235" w:rsidRDefault="00932235" w:rsidP="00C658B4">
            <w:pPr>
              <w:ind w:firstLine="709"/>
              <w:jc w:val="both"/>
              <w:rPr>
                <w:rFonts w:ascii="Times New Roman" w:eastAsia="Tahoma" w:hAnsi="Times New Roman"/>
                <w:bCs/>
                <w:sz w:val="20"/>
                <w:szCs w:val="20"/>
                <w:lang w:bidi="hi-IN"/>
              </w:rPr>
            </w:pPr>
            <w:r w:rsidRPr="00932235">
              <w:rPr>
                <w:rFonts w:ascii="Times New Roman" w:eastAsia="Tahoma" w:hAnsi="Times New Roman"/>
                <w:bCs/>
                <w:sz w:val="20"/>
                <w:szCs w:val="20"/>
                <w:lang w:bidi="hi-IN"/>
              </w:rPr>
              <w:t>Культурні заходи є частиною програм соціальної адаптації, спрямовані на психологічну реабілітацію ветеранів війни та членів сімей загиблих (померлих) Захисників та Захисниць України. Заходи що заплановані, передбачають всебічну підтримку учасників,  та вшанування пам'яті полеглих. Планування організації різних культурних заходів. Прагнення соціально адаптувати, психологічно розвантажити, допомогти повернути відчуття стабільності, відновити баланс, зменшити симптоми стресу та вибудувати нові опори у повсякденному житті. Прагнення не просто допомогти пережити складний період, а підтримати повернення до керованості, ясності й відчуття себе</w:t>
            </w:r>
            <w:r w:rsidR="00C658B4">
              <w:rPr>
                <w:rFonts w:ascii="Times New Roman" w:eastAsia="Tahoma" w:hAnsi="Times New Roman"/>
                <w:bCs/>
                <w:sz w:val="20"/>
                <w:szCs w:val="20"/>
                <w:lang w:bidi="hi-IN"/>
              </w:rPr>
              <w:t xml:space="preserve">. </w:t>
            </w:r>
            <w:r w:rsidRPr="00932235">
              <w:rPr>
                <w:rFonts w:ascii="Times New Roman" w:eastAsia="Tahoma" w:hAnsi="Times New Roman"/>
                <w:bCs/>
                <w:sz w:val="20"/>
                <w:szCs w:val="20"/>
                <w:lang w:bidi="hi-IN"/>
              </w:rPr>
              <w:t>Планування культурних заходів що спрямовані на </w:t>
            </w:r>
            <w:r w:rsidRPr="00932235">
              <w:rPr>
                <w:rFonts w:ascii="Times New Roman" w:eastAsia="Tahoma" w:hAnsi="Times New Roman"/>
                <w:sz w:val="20"/>
                <w:szCs w:val="20"/>
                <w:lang w:bidi="hi-IN"/>
              </w:rPr>
              <w:t>дослідження власного родоводу</w:t>
            </w:r>
            <w:r w:rsidRPr="00932235">
              <w:rPr>
                <w:rFonts w:ascii="Times New Roman" w:eastAsia="Tahoma" w:hAnsi="Times New Roman"/>
                <w:b/>
                <w:bCs/>
                <w:sz w:val="20"/>
                <w:szCs w:val="20"/>
                <w:lang w:bidi="hi-IN"/>
              </w:rPr>
              <w:t>,</w:t>
            </w:r>
            <w:r w:rsidRPr="00932235">
              <w:rPr>
                <w:rFonts w:ascii="Times New Roman" w:eastAsia="Tahoma" w:hAnsi="Times New Roman"/>
                <w:bCs/>
                <w:sz w:val="20"/>
                <w:szCs w:val="20"/>
                <w:lang w:bidi="hi-IN"/>
              </w:rPr>
              <w:t xml:space="preserve"> як інструменту збереження національної ідентичності. Учасники заходу, зможуть задокументувати історію своєї сім’ї, поєднавши особисту </w:t>
            </w:r>
            <w:r w:rsidRPr="00932235">
              <w:rPr>
                <w:rFonts w:ascii="Times New Roman" w:eastAsia="Tahoma" w:hAnsi="Times New Roman"/>
                <w:bCs/>
                <w:sz w:val="20"/>
                <w:szCs w:val="20"/>
                <w:lang w:bidi="hi-IN"/>
              </w:rPr>
              <w:lastRenderedPageBreak/>
              <w:t xml:space="preserve">звитягу з багатовіковим літописом боротьби за незалежність України. Збереження історії України через </w:t>
            </w:r>
            <w:proofErr w:type="spellStart"/>
            <w:r w:rsidRPr="00932235">
              <w:rPr>
                <w:rFonts w:ascii="Times New Roman" w:eastAsia="Tahoma" w:hAnsi="Times New Roman"/>
                <w:bCs/>
                <w:sz w:val="20"/>
                <w:szCs w:val="20"/>
                <w:lang w:bidi="hi-IN"/>
              </w:rPr>
              <w:t>генеологічне</w:t>
            </w:r>
            <w:proofErr w:type="spellEnd"/>
            <w:r w:rsidRPr="00932235">
              <w:rPr>
                <w:rFonts w:ascii="Times New Roman" w:eastAsia="Tahoma" w:hAnsi="Times New Roman"/>
                <w:bCs/>
                <w:sz w:val="20"/>
                <w:szCs w:val="20"/>
                <w:lang w:bidi="hi-IN"/>
              </w:rPr>
              <w:t xml:space="preserve"> дослідження - це</w:t>
            </w:r>
            <w:r w:rsidRPr="00932235">
              <w:rPr>
                <w:rFonts w:ascii="Times New Roman" w:eastAsia="Tahoma" w:hAnsi="Times New Roman"/>
                <w:b/>
                <w:bCs/>
                <w:sz w:val="20"/>
                <w:szCs w:val="20"/>
                <w:lang w:bidi="hi-IN"/>
              </w:rPr>
              <w:t xml:space="preserve"> </w:t>
            </w:r>
            <w:r w:rsidRPr="00932235">
              <w:rPr>
                <w:rFonts w:ascii="Times New Roman" w:eastAsia="Tahoma" w:hAnsi="Times New Roman"/>
                <w:sz w:val="20"/>
                <w:szCs w:val="20"/>
                <w:lang w:bidi="hi-IN"/>
              </w:rPr>
              <w:t>терапія через історію</w:t>
            </w:r>
            <w:r w:rsidRPr="00932235">
              <w:rPr>
                <w:rFonts w:ascii="Times New Roman" w:eastAsia="Tahoma" w:hAnsi="Times New Roman"/>
                <w:bCs/>
                <w:sz w:val="20"/>
                <w:szCs w:val="20"/>
                <w:lang w:bidi="hi-IN"/>
              </w:rPr>
              <w:t xml:space="preserve">, яка дає відчуття, що їхня боротьба є частиною великого історичного процесу, а пам'ять про них і їхніх побратимів, рідних, буде назавжди збережена для нащадків. </w:t>
            </w:r>
          </w:p>
          <w:p w14:paraId="0C119E2F" w14:textId="2DA33312" w:rsidR="006B499A" w:rsidRDefault="006B499A" w:rsidP="00FE40DE">
            <w:pPr>
              <w:spacing w:after="0" w:line="240" w:lineRule="auto"/>
              <w:jc w:val="both"/>
              <w:rPr>
                <w:rFonts w:ascii="Times New Roman" w:hAnsi="Times New Roman" w:cs="Times New Roman"/>
                <w:sz w:val="20"/>
                <w:szCs w:val="20"/>
              </w:rPr>
            </w:pPr>
            <w:r w:rsidRPr="00932235">
              <w:rPr>
                <w:rFonts w:ascii="Times New Roman" w:hAnsi="Times New Roman" w:cs="Times New Roman"/>
                <w:sz w:val="20"/>
                <w:szCs w:val="20"/>
              </w:rPr>
              <w:t xml:space="preserve">Технічні та якісні характеристики предмета закупівлі сформовані з урахуванням </w:t>
            </w:r>
            <w:r w:rsidR="00932235" w:rsidRPr="00932235">
              <w:rPr>
                <w:rFonts w:ascii="Times New Roman" w:eastAsia="Tahoma" w:hAnsi="Times New Roman"/>
                <w:bCs/>
                <w:sz w:val="20"/>
                <w:szCs w:val="20"/>
                <w:lang w:bidi="hi-IN"/>
              </w:rPr>
              <w:t>чутлив</w:t>
            </w:r>
            <w:r w:rsidR="00932235">
              <w:rPr>
                <w:rFonts w:ascii="Times New Roman" w:eastAsia="Tahoma" w:hAnsi="Times New Roman"/>
                <w:bCs/>
                <w:sz w:val="20"/>
                <w:szCs w:val="20"/>
                <w:lang w:bidi="hi-IN"/>
              </w:rPr>
              <w:t>ої</w:t>
            </w:r>
            <w:r w:rsidR="00932235" w:rsidRPr="00932235">
              <w:rPr>
                <w:rFonts w:ascii="Times New Roman" w:eastAsia="Tahoma" w:hAnsi="Times New Roman"/>
                <w:bCs/>
                <w:sz w:val="20"/>
                <w:szCs w:val="20"/>
                <w:lang w:bidi="hi-IN"/>
              </w:rPr>
              <w:t xml:space="preserve"> категорі</w:t>
            </w:r>
            <w:r w:rsidR="00932235">
              <w:rPr>
                <w:rFonts w:ascii="Times New Roman" w:eastAsia="Tahoma" w:hAnsi="Times New Roman"/>
                <w:bCs/>
                <w:sz w:val="20"/>
                <w:szCs w:val="20"/>
                <w:lang w:bidi="hi-IN"/>
              </w:rPr>
              <w:t>ї</w:t>
            </w:r>
            <w:r w:rsidR="00932235" w:rsidRPr="00932235">
              <w:rPr>
                <w:rFonts w:ascii="Times New Roman" w:eastAsia="Tahoma" w:hAnsi="Times New Roman"/>
                <w:bCs/>
                <w:sz w:val="20"/>
                <w:szCs w:val="20"/>
                <w:lang w:bidi="hi-IN"/>
              </w:rPr>
              <w:t xml:space="preserve"> учасників, важливо врахувати не лише технічні, а й етичні аспекти. </w:t>
            </w:r>
          </w:p>
          <w:p w14:paraId="40612B57" w14:textId="7D74D5D6" w:rsidR="006B499A" w:rsidRDefault="00932235" w:rsidP="00FE40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6CB89D5E" w14:textId="77777777" w:rsidR="006B499A" w:rsidRDefault="006B499A" w:rsidP="00FE40DE">
            <w:pPr>
              <w:spacing w:after="0" w:line="240" w:lineRule="auto"/>
              <w:jc w:val="both"/>
              <w:rPr>
                <w:rFonts w:ascii="Times New Roman" w:hAnsi="Times New Roman" w:cs="Times New Roman"/>
                <w:sz w:val="20"/>
                <w:szCs w:val="20"/>
              </w:rPr>
            </w:pPr>
          </w:p>
          <w:p w14:paraId="1870DA2B" w14:textId="77777777" w:rsidR="000152F6" w:rsidRDefault="00AF7ECA" w:rsidP="006B499A">
            <w:pPr>
              <w:spacing w:after="0" w:line="240" w:lineRule="auto"/>
              <w:jc w:val="both"/>
              <w:rPr>
                <w:rFonts w:ascii="Times New Roman" w:eastAsia="Times New Roman" w:hAnsi="Times New Roman" w:cs="Times New Roman"/>
                <w:b/>
                <w:bCs/>
                <w:sz w:val="20"/>
                <w:szCs w:val="20"/>
              </w:rPr>
            </w:pPr>
            <w:r w:rsidRPr="00BC77F8">
              <w:rPr>
                <w:rFonts w:ascii="Times New Roman" w:eastAsia="Times New Roman" w:hAnsi="Times New Roman" w:cs="Times New Roman"/>
                <w:b/>
                <w:bCs/>
                <w:sz w:val="20"/>
                <w:szCs w:val="20"/>
              </w:rPr>
              <w:t>Технічні та якісні характеристики предмета закупівлі визначено на підставі службової записки</w:t>
            </w:r>
            <w:r w:rsidR="00404151" w:rsidRPr="00BC77F8">
              <w:rPr>
                <w:rFonts w:ascii="Times New Roman" w:eastAsia="Times New Roman" w:hAnsi="Times New Roman" w:cs="Times New Roman"/>
                <w:b/>
                <w:bCs/>
                <w:sz w:val="20"/>
                <w:szCs w:val="20"/>
              </w:rPr>
              <w:t>.</w:t>
            </w:r>
          </w:p>
          <w:p w14:paraId="226422F3" w14:textId="60B1E61D" w:rsidR="00932235" w:rsidRPr="00BC77F8" w:rsidRDefault="00932235" w:rsidP="006B499A">
            <w:pPr>
              <w:spacing w:after="0" w:line="240" w:lineRule="auto"/>
              <w:jc w:val="both"/>
              <w:rPr>
                <w:rFonts w:ascii="Times New Roman" w:eastAsia="Times New Roman" w:hAnsi="Times New Roman" w:cs="Times New Roman"/>
                <w:b/>
                <w:bCs/>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69D8670" w14:textId="77777777" w:rsidR="002A4EEC" w:rsidRPr="00E36EFE" w:rsidRDefault="00AF7ECA">
            <w:pPr>
              <w:spacing w:after="0" w:line="240" w:lineRule="auto"/>
              <w:jc w:val="both"/>
              <w:rPr>
                <w:rFonts w:ascii="Times New Roman" w:eastAsia="Times New Roman" w:hAnsi="Times New Roman" w:cs="Times New Roman"/>
                <w:b/>
                <w:bCs/>
                <w:sz w:val="20"/>
                <w:szCs w:val="20"/>
              </w:rPr>
            </w:pPr>
            <w:r w:rsidRPr="00E36EFE">
              <w:rPr>
                <w:rFonts w:ascii="Times New Roman" w:eastAsia="Times New Roman" w:hAnsi="Times New Roman" w:cs="Times New Roman"/>
                <w:b/>
                <w:bCs/>
                <w:sz w:val="20"/>
                <w:szCs w:val="20"/>
              </w:rPr>
              <w:lastRenderedPageBreak/>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p>
          <w:p w14:paraId="143B5F71" w14:textId="77777777" w:rsidR="002A4EEC" w:rsidRPr="00E36EFE" w:rsidRDefault="002A4EEC">
            <w:pPr>
              <w:spacing w:after="0" w:line="240" w:lineRule="auto"/>
              <w:jc w:val="both"/>
              <w:rPr>
                <w:rFonts w:ascii="Times New Roman" w:eastAsia="Times New Roman" w:hAnsi="Times New Roman" w:cs="Times New Roman"/>
                <w:b/>
                <w:bCs/>
                <w:sz w:val="20"/>
                <w:szCs w:val="20"/>
              </w:rPr>
            </w:pPr>
          </w:p>
          <w:p w14:paraId="44C92321" w14:textId="7EF0D0A6" w:rsidR="002A4EEC" w:rsidRPr="00E36EFE" w:rsidRDefault="00AF7ECA">
            <w:pPr>
              <w:spacing w:after="0" w:line="240" w:lineRule="auto"/>
              <w:jc w:val="both"/>
              <w:rPr>
                <w:rFonts w:ascii="Times New Roman" w:eastAsia="Times New Roman" w:hAnsi="Times New Roman" w:cs="Times New Roman"/>
                <w:sz w:val="20"/>
                <w:szCs w:val="20"/>
              </w:rPr>
            </w:pPr>
            <w:r w:rsidRPr="00E36EFE">
              <w:rPr>
                <w:rFonts w:ascii="Times New Roman" w:eastAsia="Times New Roman" w:hAnsi="Times New Roman" w:cs="Times New Roman"/>
                <w:sz w:val="20"/>
                <w:szCs w:val="20"/>
              </w:rPr>
              <w:t>Проаналізовано інформацію про ціни в таких відкритих джерелах: у відкритих інформаційних джерелах мережі Інтернет</w:t>
            </w:r>
            <w:r w:rsidR="001B26D5" w:rsidRPr="00E36EFE">
              <w:rPr>
                <w:rFonts w:ascii="Times New Roman" w:eastAsia="Times New Roman" w:hAnsi="Times New Roman" w:cs="Times New Roman"/>
                <w:sz w:val="20"/>
                <w:szCs w:val="20"/>
              </w:rPr>
              <w:t xml:space="preserve"> та проведено ринкові консультації за результатами яких отримано комерційні пропозиції для </w:t>
            </w:r>
            <w:r w:rsidR="001B26D5" w:rsidRPr="00E36EFE">
              <w:rPr>
                <w:rFonts w:ascii="Times New Roman" w:eastAsia="Times New Roman" w:hAnsi="Times New Roman" w:cs="Times New Roman"/>
                <w:sz w:val="20"/>
                <w:szCs w:val="20"/>
              </w:rPr>
              <w:lastRenderedPageBreak/>
              <w:t xml:space="preserve">визначення очікуваної вартості </w:t>
            </w:r>
          </w:p>
          <w:p w14:paraId="735581DA" w14:textId="77777777" w:rsidR="002A4EEC" w:rsidRPr="001B26D5" w:rsidRDefault="00AF7ECA">
            <w:pPr>
              <w:spacing w:after="0" w:line="240" w:lineRule="auto"/>
              <w:jc w:val="both"/>
              <w:rPr>
                <w:rFonts w:ascii="Times New Roman" w:eastAsia="Times New Roman" w:hAnsi="Times New Roman" w:cs="Times New Roman"/>
                <w:sz w:val="20"/>
                <w:szCs w:val="20"/>
              </w:rPr>
            </w:pPr>
            <w:r w:rsidRPr="001B26D5">
              <w:rPr>
                <w:rFonts w:ascii="Times New Roman" w:eastAsia="Times New Roman" w:hAnsi="Times New Roman" w:cs="Times New Roman"/>
                <w:sz w:val="20"/>
                <w:szCs w:val="20"/>
              </w:rPr>
              <w:br/>
            </w:r>
          </w:p>
        </w:tc>
      </w:tr>
    </w:tbl>
    <w:p w14:paraId="2C2768D3" w14:textId="77777777" w:rsidR="002A4EEC" w:rsidRPr="000152F6" w:rsidRDefault="00AF7ECA">
      <w:pPr>
        <w:spacing w:line="360" w:lineRule="auto"/>
        <w:rPr>
          <w:rFonts w:ascii="Times New Roman" w:eastAsia="Times New Roman" w:hAnsi="Times New Roman" w:cs="Times New Roman"/>
          <w:b/>
          <w:sz w:val="20"/>
          <w:szCs w:val="20"/>
          <w:u w:val="single"/>
        </w:rPr>
      </w:pPr>
      <w:r w:rsidRPr="000152F6">
        <w:rPr>
          <w:sz w:val="20"/>
          <w:szCs w:val="20"/>
        </w:rPr>
        <w:lastRenderedPageBreak/>
        <w:t xml:space="preserve">                </w:t>
      </w:r>
      <w:r w:rsidRPr="000152F6">
        <w:rPr>
          <w:b/>
          <w:sz w:val="20"/>
          <w:szCs w:val="20"/>
        </w:rPr>
        <w:t xml:space="preserve">   </w:t>
      </w:r>
    </w:p>
    <w:sectPr w:rsidR="002A4EEC" w:rsidRPr="000152F6">
      <w:pgSz w:w="16838" w:h="11906" w:orient="landscape"/>
      <w:pgMar w:top="709" w:right="426" w:bottom="426"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EEC"/>
    <w:rsid w:val="000152F6"/>
    <w:rsid w:val="000A476F"/>
    <w:rsid w:val="000E695D"/>
    <w:rsid w:val="00147F0A"/>
    <w:rsid w:val="001B26D5"/>
    <w:rsid w:val="001F0A92"/>
    <w:rsid w:val="002A4EEC"/>
    <w:rsid w:val="002C7974"/>
    <w:rsid w:val="00404151"/>
    <w:rsid w:val="00436631"/>
    <w:rsid w:val="004B419F"/>
    <w:rsid w:val="006123A8"/>
    <w:rsid w:val="0063541B"/>
    <w:rsid w:val="006B499A"/>
    <w:rsid w:val="007A748E"/>
    <w:rsid w:val="007B1618"/>
    <w:rsid w:val="00822077"/>
    <w:rsid w:val="008E1F84"/>
    <w:rsid w:val="009009D5"/>
    <w:rsid w:val="00932235"/>
    <w:rsid w:val="009B03DD"/>
    <w:rsid w:val="009F34EF"/>
    <w:rsid w:val="00A848D3"/>
    <w:rsid w:val="00AB3526"/>
    <w:rsid w:val="00AF7ECA"/>
    <w:rsid w:val="00BC77F8"/>
    <w:rsid w:val="00C658B4"/>
    <w:rsid w:val="00CA3DA2"/>
    <w:rsid w:val="00D27416"/>
    <w:rsid w:val="00D85448"/>
    <w:rsid w:val="00E36EFE"/>
    <w:rsid w:val="00F720D5"/>
    <w:rsid w:val="00FE40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E3DE"/>
  <w15:docId w15:val="{29CB4F4C-33EB-48F7-8943-36282F4B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3D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053D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Заголовок 2 Знак"/>
    <w:basedOn w:val="a0"/>
    <w:link w:val="2"/>
    <w:uiPriority w:val="9"/>
    <w:rsid w:val="00053DE5"/>
    <w:rPr>
      <w:rFonts w:ascii="Times New Roman" w:eastAsia="Times New Roman" w:hAnsi="Times New Roman" w:cs="Times New Roman"/>
      <w:b/>
      <w:bCs/>
      <w:sz w:val="36"/>
      <w:szCs w:val="36"/>
      <w:lang w:eastAsia="ru-RU"/>
    </w:rPr>
  </w:style>
  <w:style w:type="character" w:styleId="a4">
    <w:name w:val="Strong"/>
    <w:basedOn w:val="a0"/>
    <w:uiPriority w:val="22"/>
    <w:qFormat/>
    <w:rsid w:val="00053DE5"/>
    <w:rPr>
      <w:b/>
      <w:bCs/>
    </w:rPr>
  </w:style>
  <w:style w:type="paragraph" w:styleId="a5">
    <w:name w:val="Normal (Web)"/>
    <w:basedOn w:val="a"/>
    <w:uiPriority w:val="99"/>
    <w:semiHidden/>
    <w:unhideWhenUsed/>
    <w:rsid w:val="00053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53DE5"/>
    <w:rPr>
      <w:color w:val="0000FF"/>
      <w:u w:val="single"/>
    </w:rPr>
  </w:style>
  <w:style w:type="character" w:customStyle="1" w:styleId="10">
    <w:name w:val="Заголовок 1 Знак"/>
    <w:basedOn w:val="a0"/>
    <w:link w:val="1"/>
    <w:uiPriority w:val="9"/>
    <w:rsid w:val="00053DE5"/>
    <w:rPr>
      <w:rFonts w:asciiTheme="majorHAnsi" w:eastAsiaTheme="majorEastAsia" w:hAnsiTheme="majorHAnsi" w:cstheme="majorBidi"/>
      <w:b/>
      <w:bCs/>
      <w:color w:val="365F91" w:themeColor="accent1" w:themeShade="BF"/>
      <w:sz w:val="28"/>
      <w:szCs w:val="28"/>
    </w:rPr>
  </w:style>
  <w:style w:type="character" w:customStyle="1" w:styleId="dashboardrow-views-meta">
    <w:name w:val="dashboard__row-views-meta"/>
    <w:basedOn w:val="a0"/>
    <w:rsid w:val="00053DE5"/>
  </w:style>
  <w:style w:type="character" w:styleId="a7">
    <w:name w:val="Emphasis"/>
    <w:basedOn w:val="a0"/>
    <w:uiPriority w:val="20"/>
    <w:qFormat/>
    <w:rsid w:val="00053DE5"/>
    <w:rPr>
      <w:i/>
      <w:iCs/>
    </w:rPr>
  </w:style>
  <w:style w:type="paragraph" w:styleId="a8">
    <w:name w:val="List Paragraph"/>
    <w:basedOn w:val="a"/>
    <w:uiPriority w:val="34"/>
    <w:qFormat/>
    <w:rsid w:val="0050419F"/>
    <w:pPr>
      <w:ind w:left="720"/>
      <w:contextualSpacing/>
    </w:pPr>
  </w:style>
  <w:style w:type="character" w:customStyle="1" w:styleId="rvts0">
    <w:name w:val="rvts0"/>
    <w:basedOn w:val="a0"/>
    <w:rsid w:val="00561BE3"/>
  </w:style>
  <w:style w:type="character" w:customStyle="1" w:styleId="markedcontent">
    <w:name w:val="markedcontent"/>
    <w:basedOn w:val="a0"/>
    <w:rsid w:val="00A93DEF"/>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15" w:type="dxa"/>
        <w:right w:w="115" w:type="dxa"/>
      </w:tblCellMar>
    </w:tblPr>
  </w:style>
  <w:style w:type="paragraph" w:styleId="ab">
    <w:name w:val="Balloon Text"/>
    <w:basedOn w:val="a"/>
    <w:link w:val="ac"/>
    <w:uiPriority w:val="99"/>
    <w:semiHidden/>
    <w:unhideWhenUsed/>
    <w:rsid w:val="000152F6"/>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015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09020">
      <w:bodyDiv w:val="1"/>
      <w:marLeft w:val="0"/>
      <w:marRight w:val="0"/>
      <w:marTop w:val="0"/>
      <w:marBottom w:val="0"/>
      <w:divBdr>
        <w:top w:val="none" w:sz="0" w:space="0" w:color="auto"/>
        <w:left w:val="none" w:sz="0" w:space="0" w:color="auto"/>
        <w:bottom w:val="none" w:sz="0" w:space="0" w:color="auto"/>
        <w:right w:val="none" w:sz="0" w:space="0" w:color="auto"/>
      </w:divBdr>
    </w:div>
    <w:div w:id="456221805">
      <w:bodyDiv w:val="1"/>
      <w:marLeft w:val="0"/>
      <w:marRight w:val="0"/>
      <w:marTop w:val="0"/>
      <w:marBottom w:val="0"/>
      <w:divBdr>
        <w:top w:val="none" w:sz="0" w:space="0" w:color="auto"/>
        <w:left w:val="none" w:sz="0" w:space="0" w:color="auto"/>
        <w:bottom w:val="none" w:sz="0" w:space="0" w:color="auto"/>
        <w:right w:val="none" w:sz="0" w:space="0" w:color="auto"/>
      </w:divBdr>
    </w:div>
    <w:div w:id="643314052">
      <w:bodyDiv w:val="1"/>
      <w:marLeft w:val="0"/>
      <w:marRight w:val="0"/>
      <w:marTop w:val="0"/>
      <w:marBottom w:val="0"/>
      <w:divBdr>
        <w:top w:val="none" w:sz="0" w:space="0" w:color="auto"/>
        <w:left w:val="none" w:sz="0" w:space="0" w:color="auto"/>
        <w:bottom w:val="none" w:sz="0" w:space="0" w:color="auto"/>
        <w:right w:val="none" w:sz="0" w:space="0" w:color="auto"/>
      </w:divBdr>
      <w:divsChild>
        <w:div w:id="1659917923">
          <w:marLeft w:val="0"/>
          <w:marRight w:val="0"/>
          <w:marTop w:val="0"/>
          <w:marBottom w:val="0"/>
          <w:divBdr>
            <w:top w:val="none" w:sz="0" w:space="0" w:color="auto"/>
            <w:left w:val="none" w:sz="0" w:space="0" w:color="auto"/>
            <w:bottom w:val="none" w:sz="0" w:space="0" w:color="auto"/>
            <w:right w:val="none" w:sz="0" w:space="0" w:color="auto"/>
          </w:divBdr>
        </w:div>
      </w:divsChild>
    </w:div>
    <w:div w:id="1218856994">
      <w:bodyDiv w:val="1"/>
      <w:marLeft w:val="0"/>
      <w:marRight w:val="0"/>
      <w:marTop w:val="0"/>
      <w:marBottom w:val="0"/>
      <w:divBdr>
        <w:top w:val="none" w:sz="0" w:space="0" w:color="auto"/>
        <w:left w:val="none" w:sz="0" w:space="0" w:color="auto"/>
        <w:bottom w:val="none" w:sz="0" w:space="0" w:color="auto"/>
        <w:right w:val="none" w:sz="0" w:space="0" w:color="auto"/>
      </w:divBdr>
    </w:div>
    <w:div w:id="1286277980">
      <w:bodyDiv w:val="1"/>
      <w:marLeft w:val="0"/>
      <w:marRight w:val="0"/>
      <w:marTop w:val="0"/>
      <w:marBottom w:val="0"/>
      <w:divBdr>
        <w:top w:val="none" w:sz="0" w:space="0" w:color="auto"/>
        <w:left w:val="none" w:sz="0" w:space="0" w:color="auto"/>
        <w:bottom w:val="none" w:sz="0" w:space="0" w:color="auto"/>
        <w:right w:val="none" w:sz="0" w:space="0" w:color="auto"/>
      </w:divBdr>
    </w:div>
    <w:div w:id="1476138103">
      <w:bodyDiv w:val="1"/>
      <w:marLeft w:val="0"/>
      <w:marRight w:val="0"/>
      <w:marTop w:val="0"/>
      <w:marBottom w:val="0"/>
      <w:divBdr>
        <w:top w:val="none" w:sz="0" w:space="0" w:color="auto"/>
        <w:left w:val="none" w:sz="0" w:space="0" w:color="auto"/>
        <w:bottom w:val="none" w:sz="0" w:space="0" w:color="auto"/>
        <w:right w:val="none" w:sz="0" w:space="0" w:color="auto"/>
      </w:divBdr>
      <w:divsChild>
        <w:div w:id="4657076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2qTlesPLDwN45qdsGKXvvKH7dw==">CgMxLjA4AHIhMWUzMlVFRkV5X05qSXlRd0lWZ3kxa1ZhRW5UMHRfRjBF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2421</Words>
  <Characters>1380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31</cp:revision>
  <cp:lastPrinted>2026-03-13T07:47:00Z</cp:lastPrinted>
  <dcterms:created xsi:type="dcterms:W3CDTF">2022-08-29T13:17:00Z</dcterms:created>
  <dcterms:modified xsi:type="dcterms:W3CDTF">2026-04-07T11:32:00Z</dcterms:modified>
</cp:coreProperties>
</file>