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7281" w14:textId="4E012198" w:rsidR="000029C0" w:rsidRDefault="0000000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 </w:t>
      </w:r>
      <w:r w:rsidR="001D5211" w:rsidRPr="001D5211">
        <w:rPr>
          <w:rFonts w:ascii="Times New Roman" w:hAnsi="Times New Roman"/>
          <w:b/>
          <w:sz w:val="24"/>
          <w:szCs w:val="24"/>
        </w:rPr>
        <w:t>UA-2026-06-16-013065-a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29C0" w14:paraId="7C23BC98" w14:textId="77777777">
        <w:trPr>
          <w:tblCellSpacing w:w="15" w:type="dxa"/>
        </w:trPr>
        <w:tc>
          <w:tcPr>
            <w:tcW w:w="0" w:type="auto"/>
            <w:vAlign w:val="center"/>
          </w:tcPr>
          <w:p w14:paraId="6BE99C72" w14:textId="77777777" w:rsidR="000029C0" w:rsidRDefault="000029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0704BD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AB2CB23" w14:textId="3827F7B3" w:rsidR="004F762B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Капітальний ремонт частини будівлі - харчоблоку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Нетішинської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загальноосвітньої школи І-ІІІ ступенів№4 (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Нетішинська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гімназія «Енергія»)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Нетішинської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 міської ради Хмельницької області за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вул.Енергетиків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 xml:space="preserve">, будинок 3, </w:t>
      </w:r>
      <w:proofErr w:type="spellStart"/>
      <w:r w:rsidR="004F762B" w:rsidRPr="004F762B">
        <w:rPr>
          <w:rFonts w:ascii="Times New Roman" w:hAnsi="Times New Roman"/>
          <w:sz w:val="28"/>
          <w:szCs w:val="28"/>
          <w:lang w:val="uk-UA"/>
        </w:rPr>
        <w:t>м.Нетішин</w:t>
      </w:r>
      <w:proofErr w:type="spellEnd"/>
      <w:r w:rsidR="004F762B" w:rsidRPr="004F762B">
        <w:rPr>
          <w:rFonts w:ascii="Times New Roman" w:hAnsi="Times New Roman"/>
          <w:sz w:val="28"/>
          <w:szCs w:val="28"/>
          <w:lang w:val="uk-UA"/>
        </w:rPr>
        <w:t>, Хмельницька область (коригування)</w:t>
      </w:r>
      <w:r w:rsidR="004F762B">
        <w:rPr>
          <w:rFonts w:ascii="Times New Roman" w:hAnsi="Times New Roman"/>
          <w:sz w:val="28"/>
          <w:szCs w:val="28"/>
          <w:lang w:val="uk-UA"/>
        </w:rPr>
        <w:t>.</w:t>
      </w:r>
    </w:p>
    <w:p w14:paraId="526755F9" w14:textId="690EDFF6" w:rsidR="000029C0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класифікатора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код ДК 021-2015 – </w:t>
      </w:r>
      <w:r>
        <w:rPr>
          <w:rFonts w:ascii="Times New Roman" w:hAnsi="Times New Roman" w:cs="Times New Roman"/>
          <w:sz w:val="28"/>
          <w:szCs w:val="28"/>
        </w:rPr>
        <w:t xml:space="preserve">45000000-7: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5A15DC" w14:textId="6F2D7C4E" w:rsidR="000029C0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предмета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62B" w:rsidRPr="004F762B">
        <w:rPr>
          <w:rFonts w:ascii="Times New Roman" w:hAnsi="Times New Roman" w:cs="Times New Roman"/>
          <w:sz w:val="28"/>
          <w:szCs w:val="28"/>
        </w:rPr>
        <w:t>ДБН В.2.2-3:2018</w:t>
      </w:r>
      <w:r w:rsidR="00833E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ДБН В.2.2-40:2018, ДБН Б.2.2-12:2019, ДСТУ Б Б.2.2-10.2016, ДБН В.1.1.7-2016, ДБН В.1.2-14-2018.</w:t>
      </w:r>
    </w:p>
    <w:p w14:paraId="5805820C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вартості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665ADA21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Закупівля здійснюється в рамках виконання заходів Плану України, що схвалений для реалізації фінансування Європейського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(далі – інструмент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),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ратифікованою Законом України від 06.06.2024 № 3786-IX </w:t>
      </w:r>
    </w:p>
    <w:p w14:paraId="466F00AD" w14:textId="1CB4DF2A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чікувана вартість визначена відповідно до вимог Настанови з визначення вартості будівництва, затвердженої наказом  Міністерства розвитку громад та територій України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Мінрегіону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від 01.11.2021 №281</w:t>
      </w:r>
      <w:r w:rsidR="00F412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складає: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>24</w:t>
      </w:r>
      <w:r w:rsid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>401</w:t>
      </w:r>
      <w:r w:rsid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 </w:t>
      </w:r>
      <w:r w:rsidR="004F762B" w:rsidRPr="004F762B">
        <w:rPr>
          <w:rStyle w:val="value"/>
          <w:rFonts w:ascii="Times New Roman" w:hAnsi="Times New Roman"/>
          <w:sz w:val="28"/>
          <w:szCs w:val="28"/>
          <w:lang w:val="uk-UA"/>
        </w:rPr>
        <w:t xml:space="preserve">719.00 </w:t>
      </w:r>
      <w:r w:rsidR="00F412F9" w:rsidRPr="00F412F9">
        <w:rPr>
          <w:rStyle w:val="value"/>
          <w:rFonts w:ascii="Times New Roman" w:hAnsi="Times New Roman"/>
          <w:sz w:val="28"/>
          <w:szCs w:val="28"/>
          <w:lang w:val="uk-UA"/>
        </w:rPr>
        <w:t>гр</w:t>
      </w:r>
      <w:r w:rsidR="00F412F9">
        <w:rPr>
          <w:rStyle w:val="value"/>
          <w:rFonts w:ascii="Times New Roman" w:hAnsi="Times New Roman"/>
          <w:sz w:val="28"/>
          <w:szCs w:val="28"/>
          <w:lang w:val="uk-UA"/>
        </w:rPr>
        <w:t>ивень</w:t>
      </w:r>
    </w:p>
    <w:p w14:paraId="2B79BAC6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проектно-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кошторисною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документацією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експертним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звітом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.</w:t>
      </w:r>
    </w:p>
    <w:p w14:paraId="77FF142B" w14:textId="77777777" w:rsidR="000029C0" w:rsidRDefault="00000000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  <w:t>Нормативно-правові акти, що формують підстави застосування процедури відкритих торгів з особливостями:</w:t>
      </w:r>
    </w:p>
    <w:p w14:paraId="0FB5B87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1.Закон України “Про публічні закупівлі” №922-VIII від 25.12.2015 року  зі змінами.</w:t>
      </w:r>
    </w:p>
    <w:p w14:paraId="4971CCF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2. Постанова Кабінету Міністрів України від 12 жовтня 2022 р. № 1178 «Про</w:t>
      </w:r>
    </w:p>
    <w:p w14:paraId="2DD05075" w14:textId="77777777" w:rsidR="000029C0" w:rsidRDefault="00000000">
      <w:pPr>
        <w:spacing w:after="0" w:line="240" w:lineRule="auto"/>
        <w:jc w:val="both"/>
        <w:rPr>
          <w:lang w:val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затвердження особливостей здійснення публічних </w:t>
      </w:r>
      <w:proofErr w:type="spellStart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закупівель</w:t>
      </w:r>
      <w:proofErr w:type="spellEnd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833E38"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.</w:t>
      </w:r>
    </w:p>
    <w:sectPr w:rsidR="000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0D55" w14:textId="77777777" w:rsidR="00F748DF" w:rsidRDefault="00F748DF">
      <w:pPr>
        <w:spacing w:line="240" w:lineRule="auto"/>
      </w:pPr>
      <w:r>
        <w:separator/>
      </w:r>
    </w:p>
  </w:endnote>
  <w:endnote w:type="continuationSeparator" w:id="0">
    <w:p w14:paraId="542DAAD8" w14:textId="77777777" w:rsidR="00F748DF" w:rsidRDefault="00F74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AFB6" w14:textId="77777777" w:rsidR="00F748DF" w:rsidRDefault="00F748DF">
      <w:pPr>
        <w:spacing w:after="0"/>
      </w:pPr>
      <w:r>
        <w:separator/>
      </w:r>
    </w:p>
  </w:footnote>
  <w:footnote w:type="continuationSeparator" w:id="0">
    <w:p w14:paraId="43A16BB1" w14:textId="77777777" w:rsidR="00F748DF" w:rsidRDefault="00F748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61"/>
    <w:rsid w:val="000029C0"/>
    <w:rsid w:val="001733B6"/>
    <w:rsid w:val="001A5B1D"/>
    <w:rsid w:val="001D5211"/>
    <w:rsid w:val="0028518D"/>
    <w:rsid w:val="002C6505"/>
    <w:rsid w:val="00317CCE"/>
    <w:rsid w:val="00385253"/>
    <w:rsid w:val="003D4239"/>
    <w:rsid w:val="004F762B"/>
    <w:rsid w:val="00833E38"/>
    <w:rsid w:val="00AC43B3"/>
    <w:rsid w:val="00AF4537"/>
    <w:rsid w:val="00B541D0"/>
    <w:rsid w:val="00D30B61"/>
    <w:rsid w:val="00DC3B2E"/>
    <w:rsid w:val="00F22EA7"/>
    <w:rsid w:val="00F412F9"/>
    <w:rsid w:val="00F748DF"/>
    <w:rsid w:val="125A62CD"/>
    <w:rsid w:val="28033830"/>
    <w:rsid w:val="42E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651A"/>
  <w15:docId w15:val="{46891FB0-CE0B-4026-94F7-0416EB50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</w:style>
  <w:style w:type="character" w:customStyle="1" w:styleId="small">
    <w:name w:val="sma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2026-06-22T10:04:00Z</dcterms:created>
  <dcterms:modified xsi:type="dcterms:W3CDTF">2026-06-22T10:04:00Z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C64C333BF5EE4374B89431B7BE7A405F_13</vt:lpwstr>
  </property>
</Properties>
</file>